
<file path=[Content_Types].xml><?xml version="1.0" encoding="utf-8"?>
<Types xmlns="http://schemas.openxmlformats.org/package/2006/content-types">
  <Override PartName="/word/charts/chart1.xml" ContentType="application/vnd.openxmlformats-officedocument.drawingml.chart+xml"/>
  <Default Extension="png" ContentType="image/png"/>
  <Override PartName="/word/charts/chart11.xml" ContentType="application/vnd.openxmlformats-officedocument.drawingml.chart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charts/chart8.xml" ContentType="application/vnd.openxmlformats-officedocument.drawingml.chart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webSettings.xml" ContentType="application/vnd.openxmlformats-officedocument.wordprocessingml.web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rawings/drawing3.xml" ContentType="application/vnd.openxmlformats-officedocument.drawingml.chartshap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endnotes.xml" ContentType="application/vnd.openxmlformats-officedocument.wordprocessingml.endnotes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drawings/drawing4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8" w:rsidRPr="003F22E4" w:rsidRDefault="007B1255" w:rsidP="005577B8">
      <w:r w:rsidRPr="003F22E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637540</wp:posOffset>
            </wp:positionV>
            <wp:extent cx="2045970" cy="5619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l="25697" t="12326" b="2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7B8" w:rsidRPr="003F22E4" w:rsidRDefault="007B1255" w:rsidP="005577B8">
      <w:r w:rsidRPr="003F22E4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218440</wp:posOffset>
            </wp:positionV>
            <wp:extent cx="7028180" cy="1469390"/>
            <wp:effectExtent l="25400" t="0" r="7620" b="0"/>
            <wp:wrapTight wrapText="bothSides">
              <wp:wrapPolygon edited="0">
                <wp:start x="-78" y="0"/>
                <wp:lineTo x="-78" y="21283"/>
                <wp:lineTo x="21623" y="21283"/>
                <wp:lineTo x="21623" y="0"/>
                <wp:lineTo x="-78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7B8" w:rsidRPr="003F22E4" w:rsidRDefault="005577B8" w:rsidP="005577B8"/>
    <w:p w:rsidR="005577B8" w:rsidRPr="003F22E4" w:rsidRDefault="005577B8" w:rsidP="005577B8"/>
    <w:p w:rsidR="005577B8" w:rsidRPr="003F22E4" w:rsidRDefault="005577B8" w:rsidP="005577B8"/>
    <w:p w:rsidR="005577B8" w:rsidRPr="003F22E4" w:rsidRDefault="005577B8" w:rsidP="005577B8">
      <w:pPr>
        <w:jc w:val="center"/>
        <w:outlineLvl w:val="0"/>
        <w:rPr>
          <w:rFonts w:ascii="Century Gothic" w:hAnsi="Century Gothic"/>
          <w:b/>
          <w:sz w:val="52"/>
        </w:rPr>
      </w:pPr>
      <w:bookmarkStart w:id="0" w:name="_Toc254703758"/>
      <w:r w:rsidRPr="003F22E4">
        <w:rPr>
          <w:rFonts w:ascii="Century Gothic" w:hAnsi="Century Gothic"/>
          <w:b/>
          <w:sz w:val="52"/>
        </w:rPr>
        <w:t>ENERGY EFFICIENCY IN THE SOUTH</w:t>
      </w:r>
      <w:bookmarkEnd w:id="0"/>
    </w:p>
    <w:p w:rsidR="005577B8" w:rsidRPr="003F22E4" w:rsidRDefault="005577B8" w:rsidP="005577B8">
      <w:pPr>
        <w:spacing w:after="0"/>
        <w:jc w:val="center"/>
        <w:rPr>
          <w:rFonts w:ascii="Arial" w:hAnsi="Arial"/>
          <w:b/>
          <w:sz w:val="32"/>
          <w:szCs w:val="24"/>
        </w:rPr>
      </w:pPr>
      <w:r w:rsidRPr="003F22E4">
        <w:rPr>
          <w:rFonts w:ascii="Arial" w:hAnsi="Arial"/>
          <w:b/>
          <w:sz w:val="32"/>
          <w:szCs w:val="24"/>
        </w:rPr>
        <w:t>APPENDIX G</w:t>
      </w:r>
    </w:p>
    <w:p w:rsidR="005577B8" w:rsidRPr="003F22E4" w:rsidRDefault="005577B8" w:rsidP="005577B8">
      <w:pPr>
        <w:spacing w:after="0"/>
        <w:jc w:val="center"/>
        <w:rPr>
          <w:rFonts w:ascii="Arial" w:hAnsi="Arial"/>
          <w:b/>
          <w:sz w:val="32"/>
          <w:szCs w:val="24"/>
        </w:rPr>
      </w:pPr>
    </w:p>
    <w:p w:rsidR="005577B8" w:rsidRPr="003F22E4" w:rsidRDefault="005577B8" w:rsidP="005577B8">
      <w:pPr>
        <w:spacing w:after="0"/>
        <w:jc w:val="center"/>
        <w:rPr>
          <w:rFonts w:ascii="Arial" w:hAnsi="Arial"/>
          <w:b/>
          <w:sz w:val="32"/>
          <w:szCs w:val="24"/>
        </w:rPr>
      </w:pPr>
    </w:p>
    <w:p w:rsidR="00DB42E5" w:rsidRDefault="005577B8" w:rsidP="005577B8">
      <w:pPr>
        <w:spacing w:after="0"/>
        <w:jc w:val="center"/>
        <w:rPr>
          <w:rFonts w:ascii="Arial" w:hAnsi="Arial"/>
          <w:b/>
          <w:sz w:val="32"/>
          <w:szCs w:val="24"/>
        </w:rPr>
      </w:pPr>
      <w:r w:rsidRPr="003F22E4">
        <w:rPr>
          <w:rFonts w:ascii="Arial" w:hAnsi="Arial"/>
          <w:b/>
          <w:sz w:val="32"/>
          <w:szCs w:val="24"/>
        </w:rPr>
        <w:t>STATE PROFILES OF ENERGY EFFICIENCY OPPORTUNITIES IN THE SOUTH</w:t>
      </w:r>
      <w:r w:rsidR="00DB42E5">
        <w:rPr>
          <w:rFonts w:ascii="Arial" w:hAnsi="Arial"/>
          <w:b/>
          <w:sz w:val="32"/>
          <w:szCs w:val="24"/>
        </w:rPr>
        <w:t>:</w:t>
      </w:r>
    </w:p>
    <w:p w:rsidR="005577B8" w:rsidRPr="009D04DC" w:rsidRDefault="00DB42E5" w:rsidP="005577B8">
      <w:pPr>
        <w:spacing w:after="0"/>
        <w:jc w:val="center"/>
        <w:rPr>
          <w:rFonts w:ascii="Arial" w:hAnsi="Arial"/>
          <w:b/>
          <w:sz w:val="32"/>
          <w:szCs w:val="24"/>
        </w:rPr>
      </w:pPr>
      <w:r w:rsidRPr="009D04DC">
        <w:rPr>
          <w:rFonts w:ascii="Arial" w:hAnsi="Arial"/>
          <w:b/>
          <w:sz w:val="32"/>
          <w:szCs w:val="24"/>
        </w:rPr>
        <w:t>SOUTH CAROLINA</w:t>
      </w:r>
    </w:p>
    <w:p w:rsidR="005577B8" w:rsidRPr="003F22E4" w:rsidRDefault="005577B8" w:rsidP="005577B8">
      <w:pPr>
        <w:rPr>
          <w:sz w:val="28"/>
        </w:rPr>
      </w:pPr>
    </w:p>
    <w:p w:rsidR="005577B8" w:rsidRPr="003F22E4" w:rsidRDefault="005577B8" w:rsidP="005577B8">
      <w:pPr>
        <w:rPr>
          <w:sz w:val="28"/>
        </w:rPr>
      </w:pPr>
    </w:p>
    <w:p w:rsidR="005577B8" w:rsidRPr="003F22E4" w:rsidRDefault="005577B8" w:rsidP="005577B8">
      <w:pPr>
        <w:jc w:val="center"/>
        <w:rPr>
          <w:rFonts w:ascii="Arial" w:hAnsi="Arial"/>
          <w:sz w:val="24"/>
        </w:rPr>
      </w:pPr>
      <w:r w:rsidRPr="003F22E4">
        <w:rPr>
          <w:rFonts w:ascii="Arial" w:hAnsi="Arial"/>
          <w:sz w:val="24"/>
        </w:rPr>
        <w:t>Marilyn A. Brown,</w:t>
      </w:r>
      <w:r w:rsidRPr="003F22E4">
        <w:rPr>
          <w:rFonts w:ascii="Arial" w:hAnsi="Arial"/>
          <w:sz w:val="24"/>
          <w:szCs w:val="23"/>
          <w:vertAlign w:val="superscript"/>
        </w:rPr>
        <w:t>1</w:t>
      </w:r>
      <w:r w:rsidRPr="003F22E4">
        <w:rPr>
          <w:rFonts w:ascii="Arial" w:hAnsi="Arial"/>
          <w:sz w:val="24"/>
        </w:rPr>
        <w:t xml:space="preserve"> Joy Wang,</w:t>
      </w:r>
      <w:r w:rsidRPr="003F22E4">
        <w:rPr>
          <w:rFonts w:ascii="Arial" w:hAnsi="Arial"/>
          <w:sz w:val="24"/>
          <w:szCs w:val="23"/>
          <w:vertAlign w:val="superscript"/>
        </w:rPr>
        <w:t>1</w:t>
      </w:r>
      <w:r w:rsidRPr="003F22E4">
        <w:rPr>
          <w:rFonts w:ascii="Arial" w:hAnsi="Arial"/>
          <w:sz w:val="24"/>
        </w:rPr>
        <w:t xml:space="preserve"> Matt Cox,</w:t>
      </w:r>
      <w:r w:rsidRPr="003F22E4">
        <w:rPr>
          <w:rFonts w:ascii="Arial" w:hAnsi="Arial"/>
          <w:sz w:val="24"/>
          <w:szCs w:val="23"/>
          <w:vertAlign w:val="superscript"/>
        </w:rPr>
        <w:t xml:space="preserve"> 1</w:t>
      </w:r>
      <w:r w:rsidRPr="003F22E4">
        <w:rPr>
          <w:rFonts w:ascii="Arial" w:hAnsi="Arial"/>
          <w:sz w:val="24"/>
        </w:rPr>
        <w:t xml:space="preserve"> Youngsun Baek,</w:t>
      </w:r>
      <w:r w:rsidRPr="003F22E4">
        <w:rPr>
          <w:rFonts w:ascii="Arial" w:hAnsi="Arial"/>
          <w:sz w:val="24"/>
          <w:szCs w:val="23"/>
          <w:vertAlign w:val="superscript"/>
        </w:rPr>
        <w:t>1</w:t>
      </w:r>
      <w:r w:rsidRPr="003F22E4">
        <w:rPr>
          <w:rFonts w:ascii="Arial" w:hAnsi="Arial"/>
          <w:sz w:val="24"/>
        </w:rPr>
        <w:t xml:space="preserve"> Rodrigo Cortes,</w:t>
      </w:r>
      <w:r w:rsidRPr="003F22E4">
        <w:rPr>
          <w:rFonts w:ascii="Arial" w:hAnsi="Arial"/>
          <w:sz w:val="24"/>
          <w:szCs w:val="23"/>
          <w:vertAlign w:val="superscript"/>
        </w:rPr>
        <w:t>1</w:t>
      </w:r>
      <w:r w:rsidRPr="003F22E4">
        <w:rPr>
          <w:rFonts w:ascii="Arial" w:hAnsi="Arial"/>
          <w:sz w:val="24"/>
        </w:rPr>
        <w:t xml:space="preserve"> Benjamin Deitchman,</w:t>
      </w:r>
      <w:r w:rsidRPr="003F22E4">
        <w:rPr>
          <w:rFonts w:ascii="Arial" w:hAnsi="Arial"/>
          <w:sz w:val="24"/>
          <w:szCs w:val="23"/>
          <w:vertAlign w:val="superscript"/>
        </w:rPr>
        <w:t xml:space="preserve"> 1</w:t>
      </w:r>
      <w:r w:rsidRPr="003F22E4">
        <w:rPr>
          <w:rFonts w:ascii="Arial" w:hAnsi="Arial"/>
          <w:sz w:val="24"/>
        </w:rPr>
        <w:t xml:space="preserve"> Elizabeth Noll,</w:t>
      </w:r>
      <w:r w:rsidRPr="003F22E4">
        <w:rPr>
          <w:rFonts w:ascii="Arial" w:hAnsi="Arial"/>
          <w:sz w:val="24"/>
          <w:szCs w:val="23"/>
          <w:vertAlign w:val="superscript"/>
        </w:rPr>
        <w:t xml:space="preserve"> 1</w:t>
      </w:r>
      <w:r w:rsidRPr="003F22E4">
        <w:rPr>
          <w:rFonts w:ascii="Arial" w:hAnsi="Arial"/>
          <w:sz w:val="24"/>
        </w:rPr>
        <w:t xml:space="preserve"> Yu Wang,</w:t>
      </w:r>
      <w:r w:rsidRPr="003F22E4">
        <w:rPr>
          <w:rFonts w:ascii="Arial" w:hAnsi="Arial"/>
          <w:sz w:val="24"/>
          <w:szCs w:val="23"/>
          <w:vertAlign w:val="superscript"/>
        </w:rPr>
        <w:t xml:space="preserve"> 1</w:t>
      </w:r>
      <w:r w:rsidRPr="003F22E4">
        <w:rPr>
          <w:rFonts w:ascii="Arial" w:hAnsi="Arial"/>
          <w:sz w:val="24"/>
        </w:rPr>
        <w:t xml:space="preserve"> Etan Gumerman,</w:t>
      </w:r>
      <w:r w:rsidRPr="003F22E4">
        <w:rPr>
          <w:rFonts w:ascii="Arial" w:hAnsi="Arial"/>
          <w:sz w:val="24"/>
          <w:szCs w:val="23"/>
          <w:vertAlign w:val="superscript"/>
        </w:rPr>
        <w:t xml:space="preserve">2 </w:t>
      </w:r>
      <w:r w:rsidRPr="003F22E4">
        <w:rPr>
          <w:rFonts w:ascii="Arial" w:hAnsi="Arial"/>
          <w:sz w:val="24"/>
        </w:rPr>
        <w:t>Xiaojing Sun</w:t>
      </w:r>
      <w:r w:rsidRPr="003F22E4">
        <w:rPr>
          <w:rFonts w:ascii="Arial" w:hAnsi="Arial"/>
          <w:sz w:val="24"/>
          <w:szCs w:val="23"/>
          <w:vertAlign w:val="superscript"/>
        </w:rPr>
        <w:t>2</w:t>
      </w:r>
    </w:p>
    <w:p w:rsidR="005577B8" w:rsidRPr="003F22E4" w:rsidRDefault="005577B8" w:rsidP="005577B8">
      <w:pPr>
        <w:spacing w:after="0" w:line="360" w:lineRule="auto"/>
        <w:rPr>
          <w:rFonts w:ascii="Century Gothic" w:hAnsi="Century Gothic"/>
          <w:sz w:val="28"/>
        </w:rPr>
      </w:pPr>
    </w:p>
    <w:p w:rsidR="005577B8" w:rsidRPr="003F22E4" w:rsidRDefault="00DB42E5" w:rsidP="005577B8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April</w:t>
      </w:r>
      <w:r w:rsidR="005577B8" w:rsidRPr="003F22E4">
        <w:rPr>
          <w:rFonts w:ascii="Century Gothic" w:hAnsi="Century Gothic"/>
          <w:sz w:val="28"/>
        </w:rPr>
        <w:t xml:space="preserve"> </w:t>
      </w:r>
      <w:r w:rsidR="00AA754B">
        <w:rPr>
          <w:rFonts w:ascii="Century Gothic" w:hAnsi="Century Gothic"/>
          <w:sz w:val="28"/>
        </w:rPr>
        <w:t xml:space="preserve">13, </w:t>
      </w:r>
      <w:r w:rsidR="005577B8" w:rsidRPr="003F22E4">
        <w:rPr>
          <w:rFonts w:ascii="Century Gothic" w:hAnsi="Century Gothic"/>
          <w:sz w:val="28"/>
        </w:rPr>
        <w:t>2010</w:t>
      </w:r>
    </w:p>
    <w:p w:rsidR="005577B8" w:rsidRPr="003F22E4" w:rsidRDefault="005577B8" w:rsidP="00DB42E5">
      <w:pPr>
        <w:rPr>
          <w:noProof/>
        </w:rPr>
      </w:pPr>
    </w:p>
    <w:p w:rsidR="005577B8" w:rsidRPr="003F22E4" w:rsidRDefault="005577B8" w:rsidP="005577B8">
      <w:pPr>
        <w:spacing w:after="0"/>
        <w:rPr>
          <w:noProof/>
          <w:sz w:val="36"/>
          <w:szCs w:val="36"/>
        </w:rPr>
      </w:pPr>
      <w:r w:rsidRPr="003F22E4">
        <w:rPr>
          <w:rFonts w:ascii="Century Gothic" w:hAnsi="Century Gothic"/>
          <w:sz w:val="20"/>
          <w:szCs w:val="20"/>
          <w:vertAlign w:val="superscript"/>
        </w:rPr>
        <w:t>1</w:t>
      </w:r>
      <w:r w:rsidRPr="003F22E4">
        <w:rPr>
          <w:sz w:val="20"/>
          <w:szCs w:val="20"/>
        </w:rPr>
        <w:t>Georgia Institute of Technology</w:t>
      </w:r>
    </w:p>
    <w:p w:rsidR="005577B8" w:rsidRPr="003F22E4" w:rsidRDefault="005577B8" w:rsidP="005577B8">
      <w:pPr>
        <w:pStyle w:val="Footer"/>
        <w:rPr>
          <w:sz w:val="20"/>
          <w:szCs w:val="20"/>
        </w:rPr>
      </w:pPr>
      <w:r w:rsidRPr="003F22E4">
        <w:rPr>
          <w:rFonts w:ascii="Century Gothic" w:hAnsi="Century Gothic"/>
          <w:sz w:val="20"/>
          <w:szCs w:val="20"/>
          <w:vertAlign w:val="superscript"/>
        </w:rPr>
        <w:t>2</w:t>
      </w:r>
      <w:r w:rsidRPr="003F22E4">
        <w:rPr>
          <w:sz w:val="20"/>
          <w:szCs w:val="20"/>
        </w:rPr>
        <w:t>Duke University</w:t>
      </w:r>
    </w:p>
    <w:p w:rsidR="00CA29C2" w:rsidRPr="003F22E4" w:rsidRDefault="00CA29C2" w:rsidP="00CA29C2">
      <w:pPr>
        <w:spacing w:after="0"/>
        <w:jc w:val="center"/>
        <w:rPr>
          <w:rFonts w:ascii="Times" w:hAnsi="Times"/>
          <w:b/>
          <w:sz w:val="28"/>
          <w:szCs w:val="24"/>
        </w:rPr>
      </w:pPr>
      <w:r w:rsidRPr="003F22E4">
        <w:rPr>
          <w:rFonts w:ascii="Times" w:hAnsi="Times"/>
          <w:b/>
          <w:sz w:val="28"/>
          <w:szCs w:val="24"/>
        </w:rPr>
        <w:t>A Profile of Energy-Efficiency Opportunities in South Carolina</w:t>
      </w:r>
    </w:p>
    <w:p w:rsidR="00CB09C8" w:rsidRPr="003F22E4" w:rsidRDefault="00CB09C8" w:rsidP="00152751">
      <w:pPr>
        <w:spacing w:after="0"/>
        <w:rPr>
          <w:rFonts w:ascii="Times" w:hAnsi="Times"/>
          <w:sz w:val="24"/>
          <w:szCs w:val="24"/>
        </w:rPr>
      </w:pPr>
    </w:p>
    <w:p w:rsidR="00CA29C2" w:rsidRPr="003F22E4" w:rsidRDefault="00490683" w:rsidP="00CA29C2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</w:rPr>
        <w:t xml:space="preserve">The economic recession, climate change concerns and rising electricity costs have motivated many states to embrace energy efficiency as a way to create new local jobs, lower energy bills and promote environmental sustainability. With this surge of interest in energy efficiency, </w:t>
      </w:r>
      <w:r w:rsidRPr="003F22E4">
        <w:rPr>
          <w:rFonts w:ascii="Times" w:hAnsi="Times"/>
          <w:sz w:val="24"/>
          <w:szCs w:val="24"/>
        </w:rPr>
        <w:t xml:space="preserve">policymakers are asking: “how much energy can be saved?”  </w:t>
      </w:r>
      <w:r w:rsidR="00CA29C2" w:rsidRPr="003F22E4">
        <w:rPr>
          <w:rFonts w:ascii="Times New Roman" w:hAnsi="Times New Roman"/>
          <w:sz w:val="24"/>
          <w:szCs w:val="24"/>
        </w:rPr>
        <w:t xml:space="preserve">This profile addresses the opportunity for energy-efficiency improvements in South Carolina’s residential, commercial and industrial sectors.  It draws on the results of a study of </w:t>
      </w:r>
      <w:r w:rsidR="00CA29C2" w:rsidRPr="003F22E4">
        <w:rPr>
          <w:rFonts w:ascii="Times New Roman" w:hAnsi="Times New Roman"/>
          <w:i/>
          <w:sz w:val="24"/>
          <w:szCs w:val="24"/>
        </w:rPr>
        <w:t xml:space="preserve">Energy Efficiency in the South </w:t>
      </w:r>
      <w:r w:rsidR="00CA29C2" w:rsidRPr="003F22E4">
        <w:rPr>
          <w:rFonts w:ascii="Times New Roman" w:hAnsi="Times New Roman" w:cs="Arial"/>
          <w:sz w:val="24"/>
        </w:rPr>
        <w:t>conducted by a team of researchers at the Georgia Institute of Technology and Duke University</w:t>
      </w:r>
      <w:r w:rsidR="00CA29C2" w:rsidRPr="003F22E4">
        <w:rPr>
          <w:rFonts w:ascii="Times New Roman" w:hAnsi="Times New Roman"/>
          <w:i/>
          <w:sz w:val="24"/>
          <w:szCs w:val="24"/>
        </w:rPr>
        <w:t xml:space="preserve">. </w:t>
      </w:r>
      <w:r w:rsidR="00CA29C2" w:rsidRPr="003F22E4">
        <w:rPr>
          <w:rFonts w:ascii="Times New Roman" w:hAnsi="Times New Roman"/>
          <w:sz w:val="24"/>
          <w:szCs w:val="24"/>
        </w:rPr>
        <w:t xml:space="preserve"> The study</w:t>
      </w:r>
      <w:r w:rsidR="00CA29C2" w:rsidRPr="003F22E4">
        <w:rPr>
          <w:rFonts w:ascii="Times New Roman" w:hAnsi="Times New Roman"/>
          <w:i/>
          <w:sz w:val="24"/>
          <w:szCs w:val="24"/>
        </w:rPr>
        <w:t xml:space="preserve"> </w:t>
      </w:r>
      <w:r w:rsidR="00CA29C2" w:rsidRPr="003F22E4">
        <w:rPr>
          <w:rFonts w:ascii="Times New Roman" w:hAnsi="Times New Roman"/>
          <w:sz w:val="24"/>
          <w:szCs w:val="23"/>
        </w:rPr>
        <w:t>presents primary and in-depth research of the potential for energy-efficiency improvements, using a modeling approach based on the EF-NEMS (National Energy Modeling System).</w:t>
      </w:r>
      <w:r w:rsidR="00CA29C2" w:rsidRPr="003F22E4">
        <w:rPr>
          <w:rFonts w:ascii="Times New Roman" w:hAnsi="Times New Roman"/>
          <w:sz w:val="24"/>
          <w:szCs w:val="23"/>
          <w:vertAlign w:val="superscript"/>
        </w:rPr>
        <w:t>1</w:t>
      </w:r>
    </w:p>
    <w:p w:rsidR="00CA29C2" w:rsidRPr="003F22E4" w:rsidRDefault="00CA29C2" w:rsidP="00CA29C2">
      <w:pPr>
        <w:spacing w:after="0"/>
        <w:rPr>
          <w:rFonts w:ascii="Times New Roman" w:hAnsi="Times New Roman"/>
          <w:sz w:val="24"/>
          <w:szCs w:val="24"/>
        </w:rPr>
      </w:pPr>
    </w:p>
    <w:p w:rsidR="005F2658" w:rsidRDefault="00873C17" w:rsidP="00C52762">
      <w:pPr>
        <w:spacing w:after="0" w:line="240" w:lineRule="auto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>South Carolina</w:t>
      </w:r>
      <w:r w:rsidR="007331E9" w:rsidRPr="003F22E4">
        <w:rPr>
          <w:rFonts w:ascii="Times" w:hAnsi="Times"/>
          <w:sz w:val="24"/>
          <w:szCs w:val="24"/>
        </w:rPr>
        <w:t xml:space="preserve"> has a population of </w:t>
      </w:r>
      <w:r w:rsidR="00CC72EC" w:rsidRPr="003F22E4">
        <w:rPr>
          <w:rFonts w:ascii="Times" w:hAnsi="Times"/>
          <w:sz w:val="24"/>
          <w:szCs w:val="24"/>
        </w:rPr>
        <w:t xml:space="preserve">about </w:t>
      </w:r>
      <w:r w:rsidR="008E0BF3" w:rsidRPr="003F22E4">
        <w:rPr>
          <w:rFonts w:ascii="Times" w:hAnsi="Times"/>
          <w:sz w:val="24"/>
          <w:szCs w:val="24"/>
        </w:rPr>
        <w:t>4.5</w:t>
      </w:r>
      <w:r w:rsidR="00CC72EC" w:rsidRPr="003F22E4">
        <w:rPr>
          <w:rFonts w:ascii="Times" w:hAnsi="Times"/>
          <w:sz w:val="24"/>
          <w:szCs w:val="24"/>
        </w:rPr>
        <w:t xml:space="preserve"> million</w:t>
      </w:r>
      <w:r w:rsidR="005E4781" w:rsidRPr="003F22E4">
        <w:rPr>
          <w:rFonts w:ascii="Times" w:hAnsi="Times"/>
          <w:sz w:val="24"/>
          <w:szCs w:val="24"/>
        </w:rPr>
        <w:t>.</w:t>
      </w:r>
      <w:r w:rsidR="00CA29C2" w:rsidRPr="003F22E4">
        <w:rPr>
          <w:rFonts w:ascii="Times" w:hAnsi="Times"/>
          <w:sz w:val="24"/>
          <w:szCs w:val="24"/>
          <w:vertAlign w:val="superscript"/>
        </w:rPr>
        <w:t>2</w:t>
      </w:r>
      <w:r w:rsidR="00CC72EC" w:rsidRPr="003F22E4">
        <w:rPr>
          <w:rFonts w:ascii="Times" w:hAnsi="Times"/>
          <w:sz w:val="24"/>
          <w:szCs w:val="24"/>
        </w:rPr>
        <w:t xml:space="preserve">  </w:t>
      </w:r>
      <w:r w:rsidR="005E4781" w:rsidRPr="003F22E4">
        <w:rPr>
          <w:rFonts w:ascii="Times New Roman" w:hAnsi="Times New Roman"/>
          <w:sz w:val="24"/>
          <w:szCs w:val="24"/>
        </w:rPr>
        <w:t>The population of South Carolina represents about 1.5% of th</w:t>
      </w:r>
      <w:r w:rsidR="00CA29C2" w:rsidRPr="003F22E4">
        <w:rPr>
          <w:rFonts w:ascii="Times New Roman" w:hAnsi="Times New Roman"/>
          <w:sz w:val="24"/>
          <w:szCs w:val="24"/>
        </w:rPr>
        <w:t>e U</w:t>
      </w:r>
      <w:r w:rsidR="007E4197">
        <w:rPr>
          <w:rFonts w:ascii="Times New Roman" w:hAnsi="Times New Roman"/>
          <w:sz w:val="24"/>
          <w:szCs w:val="24"/>
        </w:rPr>
        <w:t>.</w:t>
      </w:r>
      <w:r w:rsidR="00CA29C2" w:rsidRPr="003F22E4">
        <w:rPr>
          <w:rFonts w:ascii="Times New Roman" w:hAnsi="Times New Roman"/>
          <w:sz w:val="24"/>
          <w:szCs w:val="24"/>
        </w:rPr>
        <w:t>S</w:t>
      </w:r>
      <w:r w:rsidR="007E4197">
        <w:rPr>
          <w:rFonts w:ascii="Times New Roman" w:hAnsi="Times New Roman"/>
          <w:sz w:val="24"/>
          <w:szCs w:val="24"/>
        </w:rPr>
        <w:t>.</w:t>
      </w:r>
      <w:r w:rsidR="00CA29C2" w:rsidRPr="003F22E4">
        <w:rPr>
          <w:rFonts w:ascii="Times New Roman" w:hAnsi="Times New Roman"/>
          <w:sz w:val="24"/>
          <w:szCs w:val="24"/>
        </w:rPr>
        <w:t xml:space="preserve"> population,</w:t>
      </w:r>
      <w:r w:rsidR="005E4781" w:rsidRPr="003F22E4">
        <w:rPr>
          <w:rFonts w:ascii="Times New Roman" w:hAnsi="Times New Roman"/>
          <w:sz w:val="24"/>
          <w:szCs w:val="24"/>
        </w:rPr>
        <w:t xml:space="preserve"> 1.1% of the nation’s Gross Domestic Product</w:t>
      </w:r>
      <w:r w:rsidR="00CA29C2" w:rsidRPr="003F22E4">
        <w:rPr>
          <w:rFonts w:ascii="Times New Roman" w:hAnsi="Times New Roman"/>
          <w:sz w:val="24"/>
          <w:szCs w:val="24"/>
        </w:rPr>
        <w:t>, and 1.7%  of U.S. energy consumption (Figure 1)</w:t>
      </w:r>
      <w:r w:rsidR="005E4781" w:rsidRPr="003F22E4">
        <w:rPr>
          <w:rFonts w:ascii="Times New Roman" w:hAnsi="Times New Roman"/>
          <w:sz w:val="24"/>
          <w:szCs w:val="24"/>
        </w:rPr>
        <w:t>.</w:t>
      </w:r>
      <w:r w:rsidR="00EF1B18" w:rsidRPr="003F22E4">
        <w:rPr>
          <w:rFonts w:ascii="Times New Roman" w:hAnsi="Times New Roman"/>
          <w:sz w:val="24"/>
          <w:szCs w:val="24"/>
          <w:vertAlign w:val="superscript"/>
        </w:rPr>
        <w:t>3</w:t>
      </w:r>
      <w:r w:rsidR="005E4781" w:rsidRPr="003F22E4">
        <w:rPr>
          <w:rFonts w:ascii="Times New Roman" w:hAnsi="Times New Roman"/>
          <w:sz w:val="24"/>
          <w:szCs w:val="24"/>
        </w:rPr>
        <w:t xml:space="preserve"> </w:t>
      </w:r>
      <w:r w:rsidR="007331E9" w:rsidRPr="003F22E4">
        <w:rPr>
          <w:rFonts w:ascii="Times" w:hAnsi="Times"/>
          <w:sz w:val="24"/>
          <w:szCs w:val="24"/>
        </w:rPr>
        <w:t xml:space="preserve"> </w:t>
      </w:r>
      <w:r w:rsidR="007054AC" w:rsidRPr="003F22E4">
        <w:rPr>
          <w:rFonts w:ascii="Times" w:hAnsi="Times"/>
          <w:sz w:val="24"/>
          <w:szCs w:val="24"/>
        </w:rPr>
        <w:t xml:space="preserve"> </w:t>
      </w:r>
      <w:r w:rsidR="00EF1B18" w:rsidRPr="003F22E4">
        <w:rPr>
          <w:rFonts w:ascii="Times" w:hAnsi="Times"/>
          <w:sz w:val="24"/>
          <w:szCs w:val="24"/>
        </w:rPr>
        <w:t xml:space="preserve">Thus, compared to the rest of the nation, </w:t>
      </w:r>
      <w:r w:rsidR="00B16DDC" w:rsidRPr="003F22E4">
        <w:rPr>
          <w:rFonts w:ascii="Times" w:hAnsi="Times"/>
          <w:sz w:val="24"/>
          <w:szCs w:val="24"/>
        </w:rPr>
        <w:t>South Carolina</w:t>
      </w:r>
      <w:r w:rsidR="00EF1B18" w:rsidRPr="003F22E4">
        <w:rPr>
          <w:rFonts w:ascii="Times" w:hAnsi="Times"/>
          <w:sz w:val="24"/>
          <w:szCs w:val="24"/>
        </w:rPr>
        <w:t xml:space="preserve"> has a </w:t>
      </w:r>
      <w:r w:rsidR="007E4197">
        <w:rPr>
          <w:rFonts w:ascii="Times" w:hAnsi="Times"/>
          <w:sz w:val="24"/>
          <w:szCs w:val="24"/>
        </w:rPr>
        <w:t>higher</w:t>
      </w:r>
      <w:r w:rsidR="00EF1B18" w:rsidRPr="003F22E4">
        <w:rPr>
          <w:rFonts w:ascii="Times" w:hAnsi="Times"/>
          <w:sz w:val="24"/>
          <w:szCs w:val="24"/>
        </w:rPr>
        <w:t xml:space="preserve"> than average level of energy </w:t>
      </w:r>
      <w:r w:rsidR="007E4197">
        <w:rPr>
          <w:rFonts w:ascii="Times" w:hAnsi="Times"/>
          <w:sz w:val="24"/>
          <w:szCs w:val="24"/>
        </w:rPr>
        <w:t>intensity</w:t>
      </w:r>
      <w:r w:rsidR="00DB42E5">
        <w:rPr>
          <w:rFonts w:ascii="Times" w:hAnsi="Times"/>
          <w:sz w:val="24"/>
          <w:szCs w:val="24"/>
        </w:rPr>
        <w:t>.</w:t>
      </w:r>
      <w:r w:rsidR="00DB42E5">
        <w:rPr>
          <w:rStyle w:val="FootnoteReference"/>
          <w:rFonts w:ascii="Times" w:hAnsi="Times"/>
          <w:sz w:val="24"/>
          <w:szCs w:val="24"/>
        </w:rPr>
        <w:footnoteReference w:customMarkFollows="1" w:id="1"/>
        <w:t>i</w:t>
      </w:r>
      <w:r w:rsidR="007E4197">
        <w:rPr>
          <w:rFonts w:ascii="Times" w:hAnsi="Times"/>
          <w:sz w:val="24"/>
          <w:szCs w:val="24"/>
        </w:rPr>
        <w:t xml:space="preserve"> </w:t>
      </w:r>
    </w:p>
    <w:p w:rsidR="005F2658" w:rsidRDefault="005F2658" w:rsidP="00C52762">
      <w:pPr>
        <w:spacing w:after="0" w:line="240" w:lineRule="auto"/>
        <w:rPr>
          <w:rFonts w:ascii="Times" w:hAnsi="Times"/>
          <w:sz w:val="24"/>
          <w:szCs w:val="24"/>
        </w:rPr>
      </w:pPr>
    </w:p>
    <w:p w:rsidR="00E8326B" w:rsidRPr="003F22E4" w:rsidRDefault="00873C17" w:rsidP="005F2658">
      <w:pPr>
        <w:spacing w:line="240" w:lineRule="auto"/>
        <w:rPr>
          <w:rFonts w:ascii="Times" w:hAnsi="Times"/>
          <w:noProof/>
          <w:sz w:val="24"/>
          <w:szCs w:val="24"/>
          <w:lang w:eastAsia="en-US"/>
        </w:rPr>
      </w:pPr>
      <w:r w:rsidRPr="003F22E4">
        <w:rPr>
          <w:rFonts w:ascii="Times" w:hAnsi="Times"/>
          <w:noProof/>
          <w:sz w:val="24"/>
          <w:szCs w:val="24"/>
          <w:lang w:eastAsia="en-US"/>
        </w:rPr>
        <w:drawing>
          <wp:inline distT="0" distB="0" distL="0" distR="0">
            <wp:extent cx="5943600" cy="1743075"/>
            <wp:effectExtent l="0" t="0" r="0" b="0"/>
            <wp:docPr id="93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1B94" w:rsidRPr="003F22E4" w:rsidRDefault="00FB1B94" w:rsidP="005F2658">
      <w:pPr>
        <w:spacing w:after="0" w:line="240" w:lineRule="auto"/>
        <w:jc w:val="center"/>
        <w:rPr>
          <w:rFonts w:ascii="Times" w:hAnsi="Times"/>
          <w:b/>
          <w:noProof/>
          <w:sz w:val="24"/>
          <w:szCs w:val="24"/>
          <w:vertAlign w:val="superscript"/>
        </w:rPr>
      </w:pPr>
      <w:r w:rsidRPr="003F22E4">
        <w:rPr>
          <w:rFonts w:ascii="Times" w:hAnsi="Times"/>
          <w:b/>
          <w:noProof/>
          <w:sz w:val="24"/>
          <w:szCs w:val="24"/>
        </w:rPr>
        <w:t xml:space="preserve">Figure 1:  </w:t>
      </w:r>
      <w:r w:rsidR="00873C17" w:rsidRPr="003F22E4">
        <w:rPr>
          <w:rFonts w:ascii="Times" w:hAnsi="Times"/>
          <w:b/>
          <w:noProof/>
          <w:sz w:val="24"/>
          <w:szCs w:val="24"/>
        </w:rPr>
        <w:t>South Carolina</w:t>
      </w:r>
      <w:r w:rsidRPr="003F22E4">
        <w:rPr>
          <w:rFonts w:ascii="Times" w:hAnsi="Times"/>
          <w:b/>
          <w:noProof/>
          <w:sz w:val="24"/>
          <w:szCs w:val="24"/>
        </w:rPr>
        <w:t>, South, and United States Energy Consumption</w:t>
      </w:r>
      <w:r w:rsidR="00544F2D" w:rsidRPr="003F22E4">
        <w:rPr>
          <w:rFonts w:ascii="Times" w:hAnsi="Times"/>
          <w:b/>
          <w:noProof/>
          <w:sz w:val="24"/>
          <w:szCs w:val="24"/>
        </w:rPr>
        <w:t>,</w:t>
      </w:r>
      <w:r w:rsidRPr="003F22E4">
        <w:rPr>
          <w:rFonts w:ascii="Times" w:hAnsi="Times"/>
          <w:b/>
          <w:noProof/>
          <w:sz w:val="24"/>
          <w:szCs w:val="24"/>
        </w:rPr>
        <w:t xml:space="preserve"> </w:t>
      </w:r>
      <w:r w:rsidR="00544F2D" w:rsidRPr="003F22E4">
        <w:rPr>
          <w:rFonts w:ascii="Times" w:hAnsi="Times"/>
          <w:b/>
          <w:noProof/>
          <w:sz w:val="24"/>
          <w:szCs w:val="24"/>
        </w:rPr>
        <w:t>2007</w:t>
      </w:r>
      <w:r w:rsidR="00E003A9" w:rsidRPr="003F22E4">
        <w:rPr>
          <w:rFonts w:ascii="Times" w:hAnsi="Times"/>
          <w:b/>
          <w:noProof/>
          <w:sz w:val="24"/>
          <w:szCs w:val="24"/>
          <w:vertAlign w:val="superscript"/>
        </w:rPr>
        <w:t>3</w:t>
      </w:r>
    </w:p>
    <w:p w:rsidR="00F00268" w:rsidRPr="003F22E4" w:rsidRDefault="00F00268" w:rsidP="00152751">
      <w:pPr>
        <w:spacing w:after="0"/>
        <w:rPr>
          <w:rFonts w:ascii="Times" w:hAnsi="Times"/>
          <w:sz w:val="24"/>
          <w:szCs w:val="24"/>
        </w:rPr>
      </w:pPr>
    </w:p>
    <w:p w:rsidR="00B400E5" w:rsidRPr="003F22E4" w:rsidRDefault="00F00268" w:rsidP="00152751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South Carolina’s </w:t>
      </w:r>
      <w:r w:rsidR="00EF1B18" w:rsidRPr="003F22E4">
        <w:rPr>
          <w:rFonts w:ascii="Times" w:hAnsi="Times"/>
          <w:sz w:val="24"/>
          <w:szCs w:val="24"/>
        </w:rPr>
        <w:t>use</w:t>
      </w:r>
      <w:r w:rsidRPr="003F22E4">
        <w:rPr>
          <w:rFonts w:ascii="Times" w:hAnsi="Times"/>
          <w:sz w:val="24"/>
          <w:szCs w:val="24"/>
        </w:rPr>
        <w:t xml:space="preserve"> of industrial energy as a percentage of its overall energy </w:t>
      </w:r>
      <w:r w:rsidR="00EF1B18" w:rsidRPr="003F22E4">
        <w:rPr>
          <w:rFonts w:ascii="Times" w:hAnsi="Times"/>
          <w:sz w:val="24"/>
          <w:szCs w:val="24"/>
        </w:rPr>
        <w:t>consumption</w:t>
      </w:r>
      <w:r w:rsidRPr="003F22E4">
        <w:rPr>
          <w:rFonts w:ascii="Times" w:hAnsi="Times"/>
          <w:sz w:val="24"/>
          <w:szCs w:val="24"/>
        </w:rPr>
        <w:t xml:space="preserve"> exceeds that of the nation, but this is largely true of the South as a r</w:t>
      </w:r>
      <w:r w:rsidR="00B400E5" w:rsidRPr="003F22E4">
        <w:rPr>
          <w:rFonts w:ascii="Times" w:hAnsi="Times"/>
          <w:sz w:val="24"/>
          <w:szCs w:val="24"/>
        </w:rPr>
        <w:t>egion, which the State closely resembles.  Climate and a heavy reliance on electricity for both heating and cooling needs has contributed to South Carolina’s high per capita energy consumption, ranked 17</w:t>
      </w:r>
      <w:r w:rsidR="00B400E5" w:rsidRPr="003F22E4">
        <w:rPr>
          <w:rFonts w:ascii="Times" w:hAnsi="Times"/>
          <w:sz w:val="24"/>
          <w:szCs w:val="24"/>
          <w:vertAlign w:val="superscript"/>
        </w:rPr>
        <w:t>th</w:t>
      </w:r>
      <w:r w:rsidR="00B400E5" w:rsidRPr="003F22E4">
        <w:rPr>
          <w:rFonts w:ascii="Times" w:hAnsi="Times"/>
          <w:sz w:val="24"/>
          <w:szCs w:val="24"/>
        </w:rPr>
        <w:t xml:space="preserve"> nationally.</w:t>
      </w:r>
      <w:r w:rsidR="00EF1B18" w:rsidRPr="003F22E4">
        <w:rPr>
          <w:rFonts w:ascii="Times" w:hAnsi="Times"/>
          <w:sz w:val="24"/>
          <w:szCs w:val="24"/>
          <w:vertAlign w:val="superscript"/>
        </w:rPr>
        <w:t>3</w:t>
      </w:r>
    </w:p>
    <w:p w:rsidR="00B400E5" w:rsidRPr="003F22E4" w:rsidRDefault="00B400E5" w:rsidP="00152751">
      <w:pPr>
        <w:spacing w:after="0"/>
        <w:rPr>
          <w:rFonts w:ascii="Times" w:hAnsi="Times"/>
          <w:sz w:val="24"/>
          <w:szCs w:val="24"/>
        </w:rPr>
      </w:pPr>
    </w:p>
    <w:p w:rsidR="00FB1B94" w:rsidRPr="003F22E4" w:rsidRDefault="00B400E5" w:rsidP="00152751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The State consumes more </w:t>
      </w:r>
      <w:r w:rsidR="003D5C41" w:rsidRPr="003F22E4">
        <w:rPr>
          <w:rFonts w:ascii="Times" w:hAnsi="Times"/>
          <w:sz w:val="24"/>
          <w:szCs w:val="24"/>
        </w:rPr>
        <w:t>nuclear power and relatively less natural gas than the South and the nation as a proportion of overall energy consumption.  South Carolina is a net exporter of other fuels (Figure 3).  The State’s electricity is largely gen</w:t>
      </w:r>
      <w:r w:rsidR="00CF312B">
        <w:rPr>
          <w:rFonts w:ascii="Times" w:hAnsi="Times"/>
          <w:sz w:val="24"/>
          <w:szCs w:val="24"/>
        </w:rPr>
        <w:t>erated from nuclear power (53%) and</w:t>
      </w:r>
      <w:r w:rsidR="003D5C41" w:rsidRPr="003F22E4">
        <w:rPr>
          <w:rFonts w:ascii="Times" w:hAnsi="Times"/>
          <w:sz w:val="24"/>
          <w:szCs w:val="24"/>
        </w:rPr>
        <w:t xml:space="preserve"> coal (39%), </w:t>
      </w:r>
      <w:r w:rsidR="00C74628" w:rsidRPr="003F22E4">
        <w:rPr>
          <w:rFonts w:ascii="Times" w:hAnsi="Times"/>
          <w:sz w:val="24"/>
          <w:szCs w:val="24"/>
        </w:rPr>
        <w:t>with smaller portions from natural gas (5%), hydropower (2%), and biomass (1%).  South Carolina is a national leader in nuclear generation.</w:t>
      </w:r>
      <w:r w:rsidR="00E003A9" w:rsidRPr="003F22E4">
        <w:rPr>
          <w:rFonts w:ascii="Times" w:hAnsi="Times"/>
          <w:sz w:val="24"/>
          <w:szCs w:val="24"/>
          <w:vertAlign w:val="superscript"/>
        </w:rPr>
        <w:t>4</w:t>
      </w:r>
    </w:p>
    <w:p w:rsidR="00E8326B" w:rsidRPr="003F22E4" w:rsidRDefault="00873C17" w:rsidP="00152751">
      <w:pPr>
        <w:spacing w:after="0"/>
        <w:rPr>
          <w:rFonts w:ascii="Times" w:hAnsi="Times"/>
          <w:noProof/>
          <w:sz w:val="24"/>
          <w:szCs w:val="24"/>
          <w:lang w:eastAsia="en-US"/>
        </w:rPr>
      </w:pPr>
      <w:r w:rsidRPr="003F22E4">
        <w:rPr>
          <w:rFonts w:ascii="Times" w:hAnsi="Times"/>
          <w:noProof/>
          <w:sz w:val="24"/>
          <w:szCs w:val="24"/>
          <w:lang w:eastAsia="en-US"/>
        </w:rPr>
        <w:drawing>
          <wp:inline distT="0" distB="0" distL="0" distR="0">
            <wp:extent cx="5943600" cy="1866900"/>
            <wp:effectExtent l="0" t="0" r="0" b="0"/>
            <wp:docPr id="94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1B94" w:rsidRPr="003F22E4" w:rsidRDefault="00FB1B94" w:rsidP="00152751">
      <w:pPr>
        <w:spacing w:after="0"/>
        <w:jc w:val="center"/>
        <w:rPr>
          <w:rFonts w:ascii="Times" w:hAnsi="Times"/>
          <w:b/>
          <w:noProof/>
          <w:sz w:val="24"/>
          <w:szCs w:val="24"/>
        </w:rPr>
      </w:pPr>
      <w:r w:rsidRPr="003F22E4">
        <w:rPr>
          <w:rFonts w:ascii="Times" w:hAnsi="Times"/>
          <w:b/>
          <w:noProof/>
          <w:sz w:val="24"/>
          <w:szCs w:val="24"/>
        </w:rPr>
        <w:t xml:space="preserve">Figure 2:  </w:t>
      </w:r>
      <w:r w:rsidR="00873C17" w:rsidRPr="003F22E4">
        <w:rPr>
          <w:rFonts w:ascii="Times" w:hAnsi="Times"/>
          <w:b/>
          <w:noProof/>
          <w:sz w:val="24"/>
          <w:szCs w:val="24"/>
        </w:rPr>
        <w:t>South Carolina</w:t>
      </w:r>
      <w:r w:rsidRPr="003F22E4">
        <w:rPr>
          <w:rFonts w:ascii="Times" w:hAnsi="Times"/>
          <w:b/>
          <w:noProof/>
          <w:sz w:val="24"/>
          <w:szCs w:val="24"/>
        </w:rPr>
        <w:t>, South, and United States Energy Consumption by Sector</w:t>
      </w:r>
      <w:r w:rsidR="00544F2D" w:rsidRPr="003F22E4">
        <w:rPr>
          <w:rFonts w:ascii="Times" w:hAnsi="Times"/>
          <w:b/>
          <w:noProof/>
          <w:sz w:val="24"/>
          <w:szCs w:val="24"/>
        </w:rPr>
        <w:t>, 2007</w:t>
      </w:r>
    </w:p>
    <w:p w:rsidR="00431053" w:rsidRPr="003F22E4" w:rsidRDefault="00431053" w:rsidP="00152751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E8326B" w:rsidRPr="003F22E4" w:rsidRDefault="00873C17" w:rsidP="00152751">
      <w:pPr>
        <w:spacing w:after="0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noProof/>
          <w:sz w:val="24"/>
          <w:szCs w:val="24"/>
          <w:lang w:eastAsia="en-US"/>
        </w:rPr>
        <w:drawing>
          <wp:inline distT="0" distB="0" distL="0" distR="0">
            <wp:extent cx="6067425" cy="1952625"/>
            <wp:effectExtent l="0" t="0" r="0" b="0"/>
            <wp:docPr id="95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1B94" w:rsidRPr="003F22E4" w:rsidRDefault="00FB1B94" w:rsidP="00152751">
      <w:pPr>
        <w:spacing w:after="0"/>
        <w:ind w:right="-450"/>
        <w:jc w:val="center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noProof/>
          <w:sz w:val="24"/>
          <w:szCs w:val="24"/>
        </w:rPr>
        <w:t xml:space="preserve">Figure 3:  </w:t>
      </w:r>
      <w:r w:rsidR="00873C17" w:rsidRPr="003F22E4">
        <w:rPr>
          <w:rFonts w:ascii="Times" w:hAnsi="Times"/>
          <w:b/>
          <w:noProof/>
          <w:sz w:val="24"/>
          <w:szCs w:val="24"/>
        </w:rPr>
        <w:t>South Carolina</w:t>
      </w:r>
      <w:r w:rsidRPr="003F22E4">
        <w:rPr>
          <w:rFonts w:ascii="Times" w:hAnsi="Times"/>
          <w:b/>
          <w:noProof/>
          <w:sz w:val="24"/>
          <w:szCs w:val="24"/>
        </w:rPr>
        <w:t>, South, and United States Energy Consumption by Fuel Type</w:t>
      </w:r>
      <w:r w:rsidR="00544F2D" w:rsidRPr="003F22E4">
        <w:rPr>
          <w:rFonts w:ascii="Times" w:hAnsi="Times"/>
          <w:b/>
          <w:noProof/>
          <w:sz w:val="24"/>
          <w:szCs w:val="24"/>
        </w:rPr>
        <w:t>, 2007</w:t>
      </w:r>
    </w:p>
    <w:p w:rsidR="00E8326B" w:rsidRPr="003F22E4" w:rsidRDefault="00E8326B" w:rsidP="00152751">
      <w:pPr>
        <w:spacing w:after="0"/>
        <w:rPr>
          <w:rFonts w:ascii="Times" w:hAnsi="Times"/>
          <w:sz w:val="24"/>
          <w:szCs w:val="24"/>
        </w:rPr>
      </w:pPr>
    </w:p>
    <w:p w:rsidR="00AC7106" w:rsidRPr="003F22E4" w:rsidRDefault="00C74628" w:rsidP="00152751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South Carolina has </w:t>
      </w:r>
      <w:r w:rsidR="00D02FDC" w:rsidRPr="003F22E4">
        <w:rPr>
          <w:rFonts w:ascii="Times" w:hAnsi="Times"/>
          <w:sz w:val="24"/>
          <w:szCs w:val="24"/>
        </w:rPr>
        <w:t xml:space="preserve">many energy-efficiency policies already in place.  </w:t>
      </w:r>
      <w:r w:rsidR="003F22E4" w:rsidRPr="003F22E4">
        <w:rPr>
          <w:rFonts w:ascii="Times" w:hAnsi="Times"/>
          <w:sz w:val="24"/>
          <w:szCs w:val="24"/>
        </w:rPr>
        <w:t>For instance, t</w:t>
      </w:r>
      <w:r w:rsidR="00D02FDC" w:rsidRPr="003F22E4">
        <w:rPr>
          <w:rFonts w:ascii="Times" w:hAnsi="Times"/>
          <w:sz w:val="24"/>
          <w:szCs w:val="24"/>
        </w:rPr>
        <w:t xml:space="preserve">he State has passed </w:t>
      </w:r>
      <w:r w:rsidR="00AC7106" w:rsidRPr="003F22E4">
        <w:rPr>
          <w:rFonts w:ascii="Times" w:hAnsi="Times"/>
          <w:sz w:val="24"/>
          <w:szCs w:val="24"/>
        </w:rPr>
        <w:t xml:space="preserve">legislation requiring many public buildings to reduce energy consumption 20% by 2020, with annual requirements and guidelines to be met along the way.  </w:t>
      </w:r>
      <w:r w:rsidR="00CF312B">
        <w:rPr>
          <w:rFonts w:ascii="Times" w:hAnsi="Times"/>
          <w:sz w:val="24"/>
          <w:szCs w:val="24"/>
        </w:rPr>
        <w:t xml:space="preserve">The State has also supported the growth of energy-efficiency-related industries.  For example, </w:t>
      </w:r>
      <w:r w:rsidR="00AC7106" w:rsidRPr="003F22E4">
        <w:rPr>
          <w:rFonts w:ascii="Times" w:hAnsi="Times"/>
          <w:sz w:val="24"/>
          <w:szCs w:val="24"/>
        </w:rPr>
        <w:t>Clemson University has also recently landed $98 million to research the next generation of wind turbines and drive trains.</w:t>
      </w:r>
      <w:r w:rsidR="00E003A9" w:rsidRPr="003F22E4">
        <w:rPr>
          <w:rFonts w:ascii="Times" w:hAnsi="Times"/>
          <w:sz w:val="24"/>
          <w:szCs w:val="24"/>
        </w:rPr>
        <w:t xml:space="preserve">  More state initiatives are described in recent Southern States Energy Board and National Association of State Energy Officials publications.</w:t>
      </w:r>
      <w:r w:rsidR="00E003A9" w:rsidRPr="003F22E4">
        <w:rPr>
          <w:rFonts w:ascii="Times" w:hAnsi="Times"/>
          <w:sz w:val="24"/>
          <w:szCs w:val="24"/>
          <w:vertAlign w:val="superscript"/>
        </w:rPr>
        <w:t>4,5</w:t>
      </w:r>
    </w:p>
    <w:p w:rsidR="00AC7106" w:rsidRPr="003F22E4" w:rsidRDefault="00AC7106" w:rsidP="00152751">
      <w:pPr>
        <w:spacing w:after="0"/>
        <w:rPr>
          <w:rFonts w:ascii="Times" w:hAnsi="Times"/>
          <w:sz w:val="24"/>
          <w:szCs w:val="24"/>
        </w:rPr>
      </w:pPr>
    </w:p>
    <w:p w:rsidR="00AC7106" w:rsidRPr="003F22E4" w:rsidRDefault="00AC7106" w:rsidP="00AC7106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Nevertheless, the </w:t>
      </w:r>
      <w:r w:rsidRPr="003F22E4">
        <w:rPr>
          <w:rFonts w:ascii="Times" w:hAnsi="Times"/>
          <w:i/>
          <w:sz w:val="24"/>
          <w:szCs w:val="24"/>
        </w:rPr>
        <w:t>2009 State Energy Efficiency Scorecard</w:t>
      </w:r>
      <w:r w:rsidRPr="003F22E4">
        <w:rPr>
          <w:rFonts w:ascii="Times" w:hAnsi="Times"/>
          <w:sz w:val="24"/>
          <w:szCs w:val="24"/>
        </w:rPr>
        <w:t xml:space="preserve"> from the American Council for an Energy Efficient Economy suggests that additional policy initiatives </w:t>
      </w:r>
      <w:r w:rsidR="00DB42E5">
        <w:rPr>
          <w:rFonts w:ascii="Times" w:hAnsi="Times"/>
          <w:sz w:val="24"/>
          <w:szCs w:val="24"/>
        </w:rPr>
        <w:t>could be implemented</w:t>
      </w:r>
      <w:r w:rsidRPr="003F22E4">
        <w:rPr>
          <w:rFonts w:ascii="Times" w:hAnsi="Times"/>
          <w:sz w:val="24"/>
          <w:szCs w:val="24"/>
        </w:rPr>
        <w:t xml:space="preserve"> in the State to encourage households, businesses, and industries to utilize energy more effectively.  Specifically, the ACEEE study rated </w:t>
      </w:r>
      <w:r w:rsidR="007A7404" w:rsidRPr="003F22E4">
        <w:rPr>
          <w:rFonts w:ascii="Times" w:hAnsi="Times"/>
          <w:iCs/>
          <w:sz w:val="24"/>
          <w:szCs w:val="24"/>
        </w:rPr>
        <w:t>South Carolina 37</w:t>
      </w:r>
      <w:r w:rsidR="007A7404" w:rsidRPr="003F22E4">
        <w:rPr>
          <w:rFonts w:ascii="Times" w:hAnsi="Times"/>
          <w:iCs/>
          <w:sz w:val="24"/>
          <w:szCs w:val="24"/>
          <w:vertAlign w:val="superscript"/>
        </w:rPr>
        <w:t>th</w:t>
      </w:r>
      <w:r w:rsidRPr="003F22E4">
        <w:rPr>
          <w:rFonts w:ascii="Times" w:hAnsi="Times"/>
          <w:sz w:val="24"/>
          <w:szCs w:val="24"/>
        </w:rPr>
        <w:t xml:space="preserve"> of the 50 states and DC for its adoption and implementation of energy efficiency policies.  This score is based on the state’s performance in six energy efficiency policy areas:  utility and public benefits, transportation, building energy codes, combined heat and power, state government initiatives, and appliance efficiency standards.</w:t>
      </w:r>
      <w:r w:rsidR="00E003A9" w:rsidRPr="003F22E4">
        <w:rPr>
          <w:rFonts w:ascii="Times" w:hAnsi="Times"/>
          <w:sz w:val="24"/>
          <w:szCs w:val="24"/>
          <w:vertAlign w:val="superscript"/>
        </w:rPr>
        <w:t>6</w:t>
      </w:r>
    </w:p>
    <w:p w:rsidR="00C74628" w:rsidRPr="003F22E4" w:rsidRDefault="007A7404" w:rsidP="00152751">
      <w:pPr>
        <w:spacing w:after="0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 xml:space="preserve">Chandler and Brown reviewed </w:t>
      </w:r>
      <w:r w:rsidR="00E003A9" w:rsidRPr="003F22E4">
        <w:rPr>
          <w:rFonts w:ascii="Times" w:hAnsi="Times"/>
          <w:sz w:val="24"/>
          <w:szCs w:val="24"/>
        </w:rPr>
        <w:t>South Carolina</w:t>
      </w:r>
      <w:r w:rsidRPr="003F22E4">
        <w:rPr>
          <w:rFonts w:ascii="Times" w:hAnsi="Times"/>
          <w:sz w:val="24"/>
          <w:szCs w:val="24"/>
        </w:rPr>
        <w:t>’s energy-efficiency studies in the</w:t>
      </w:r>
      <w:r w:rsidRPr="003F22E4">
        <w:rPr>
          <w:rFonts w:ascii="Times" w:hAnsi="Times"/>
          <w:i/>
          <w:sz w:val="24"/>
          <w:szCs w:val="24"/>
        </w:rPr>
        <w:t xml:space="preserve"> Meta-Review of Efficiency Potential Studies and Their Implications for the South</w:t>
      </w:r>
      <w:r w:rsidRPr="003F22E4">
        <w:rPr>
          <w:rFonts w:ascii="Times" w:hAnsi="Times"/>
          <w:sz w:val="24"/>
          <w:szCs w:val="24"/>
        </w:rPr>
        <w:t xml:space="preserve"> (2009).  Potential electricity savings range broadly from 8-27% from projected energy consumption in these studies.</w:t>
      </w:r>
      <w:r w:rsidR="00E003A9" w:rsidRPr="003F22E4">
        <w:rPr>
          <w:rFonts w:ascii="Times" w:hAnsi="Times"/>
          <w:sz w:val="24"/>
          <w:szCs w:val="24"/>
          <w:vertAlign w:val="superscript"/>
        </w:rPr>
        <w:t>7</w:t>
      </w:r>
      <w:r w:rsidRPr="003F22E4">
        <w:rPr>
          <w:rFonts w:ascii="Times" w:hAnsi="Times"/>
          <w:sz w:val="24"/>
          <w:szCs w:val="24"/>
        </w:rPr>
        <w:t xml:space="preserve">  South Carolina’s overall energy-efficiency potential would be higher than this range with the implementation of all cost-effective opportunities, but the number of studies with such estimates is limited.</w:t>
      </w:r>
      <w:r w:rsidR="005F2658">
        <w:rPr>
          <w:rFonts w:ascii="Times" w:hAnsi="Times"/>
          <w:sz w:val="24"/>
          <w:szCs w:val="24"/>
        </w:rPr>
        <w:t xml:space="preserve">  An ACEEE study of South Carolina’s energy efficiency and water savings potential was conducted in 2010.  It estimated that the State could save almost 17,000 GWh or about 18% of the projected demand for the state in 2025 through energy efficiency policies and utilities programs.</w:t>
      </w:r>
      <w:r w:rsidR="00C52762" w:rsidRPr="00C52762">
        <w:rPr>
          <w:rFonts w:ascii="Times" w:hAnsi="Times"/>
          <w:sz w:val="24"/>
          <w:szCs w:val="24"/>
          <w:vertAlign w:val="superscript"/>
        </w:rPr>
        <w:t>8</w:t>
      </w:r>
    </w:p>
    <w:p w:rsidR="00C8588C" w:rsidRPr="003F22E4" w:rsidRDefault="00C8588C" w:rsidP="00152751">
      <w:pPr>
        <w:spacing w:after="0"/>
        <w:rPr>
          <w:rFonts w:ascii="Times" w:hAnsi="Times"/>
          <w:sz w:val="24"/>
          <w:szCs w:val="24"/>
        </w:rPr>
      </w:pPr>
    </w:p>
    <w:p w:rsidR="00C8588C" w:rsidRPr="003F22E4" w:rsidRDefault="00C8588C" w:rsidP="005F2658">
      <w:pPr>
        <w:tabs>
          <w:tab w:val="left" w:pos="6765"/>
        </w:tabs>
        <w:spacing w:after="0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Energy Efficiency Potential by Sector</w:t>
      </w:r>
      <w:r w:rsidR="005F2658">
        <w:rPr>
          <w:rFonts w:ascii="Times" w:hAnsi="Times"/>
          <w:b/>
          <w:sz w:val="24"/>
          <w:szCs w:val="24"/>
        </w:rPr>
        <w:tab/>
      </w:r>
    </w:p>
    <w:p w:rsidR="00C8588C" w:rsidRPr="003F22E4" w:rsidRDefault="007E4197" w:rsidP="00C8588C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State’s total energy consumption (residential, commercial, industrial, and transportation sectors) is projected to increase </w:t>
      </w:r>
      <w:r w:rsidR="00585EBB">
        <w:rPr>
          <w:rFonts w:ascii="Times" w:hAnsi="Times"/>
          <w:sz w:val="24"/>
          <w:szCs w:val="24"/>
        </w:rPr>
        <w:t xml:space="preserve">6% from 2010 to 2030.  </w:t>
      </w:r>
      <w:r w:rsidR="00DB42E5">
        <w:rPr>
          <w:rFonts w:ascii="Times" w:hAnsi="Times"/>
          <w:sz w:val="24"/>
          <w:szCs w:val="24"/>
        </w:rPr>
        <w:t xml:space="preserve">This profile describes the ability of nine energy policies to curb this growth in energy use by accelerating the adoption of cost-effective energy-efficient technologies in the residential, commercial, and industrial sectors of South Carolina.  </w:t>
      </w:r>
      <w:r w:rsidR="00C8588C" w:rsidRPr="003F22E4">
        <w:rPr>
          <w:rFonts w:ascii="Times" w:hAnsi="Times"/>
          <w:sz w:val="24"/>
          <w:szCs w:val="24"/>
        </w:rPr>
        <w:t xml:space="preserve">Altogether, these policies offer the potential to reduce </w:t>
      </w:r>
      <w:r w:rsidR="00E003A9" w:rsidRPr="003F22E4">
        <w:rPr>
          <w:rFonts w:ascii="Times" w:hAnsi="Times"/>
          <w:sz w:val="24"/>
          <w:szCs w:val="24"/>
        </w:rPr>
        <w:t>South Carolina</w:t>
      </w:r>
      <w:r w:rsidR="00C8588C" w:rsidRPr="003F22E4">
        <w:rPr>
          <w:rFonts w:ascii="Times" w:hAnsi="Times"/>
          <w:sz w:val="24"/>
          <w:szCs w:val="24"/>
        </w:rPr>
        <w:t>’s energy consumption by approximately 1</w:t>
      </w:r>
      <w:r w:rsidR="00A94D5D">
        <w:rPr>
          <w:rFonts w:ascii="Times" w:hAnsi="Times"/>
          <w:sz w:val="24"/>
          <w:szCs w:val="24"/>
        </w:rPr>
        <w:t>1</w:t>
      </w:r>
      <w:r w:rsidR="00C8588C" w:rsidRPr="003F22E4">
        <w:rPr>
          <w:rFonts w:ascii="Times" w:hAnsi="Times"/>
          <w:sz w:val="24"/>
          <w:szCs w:val="24"/>
        </w:rPr>
        <w:t>% of the energy consumed by the State in 2007</w:t>
      </w:r>
      <w:r w:rsidR="003F22E4" w:rsidRPr="003F22E4">
        <w:rPr>
          <w:rFonts w:ascii="Times" w:hAnsi="Times"/>
          <w:sz w:val="24"/>
          <w:szCs w:val="24"/>
        </w:rPr>
        <w:t xml:space="preserve"> (1</w:t>
      </w:r>
      <w:r w:rsidR="00A94D5D">
        <w:rPr>
          <w:rFonts w:ascii="Times" w:hAnsi="Times"/>
          <w:sz w:val="24"/>
          <w:szCs w:val="24"/>
        </w:rPr>
        <w:t>8</w:t>
      </w:r>
      <w:r w:rsidR="003F22E4" w:rsidRPr="003F22E4">
        <w:rPr>
          <w:rFonts w:ascii="Times" w:hAnsi="Times"/>
          <w:sz w:val="24"/>
          <w:szCs w:val="24"/>
        </w:rPr>
        <w:t>0 TBtu in 2030) (Figure 4)</w:t>
      </w:r>
      <w:r w:rsidR="00C8588C" w:rsidRPr="003F22E4">
        <w:rPr>
          <w:rFonts w:ascii="Times" w:hAnsi="Times"/>
          <w:sz w:val="24"/>
          <w:szCs w:val="24"/>
        </w:rPr>
        <w:t xml:space="preserve">.  With these policies, South Carolina’s projected energy consumption could be reduced over the next two decades.  For complete policy descriptions, refer to </w:t>
      </w:r>
      <w:r w:rsidR="00C8588C" w:rsidRPr="003F22E4">
        <w:rPr>
          <w:rFonts w:ascii="Times" w:hAnsi="Times"/>
          <w:i/>
          <w:sz w:val="24"/>
          <w:szCs w:val="24"/>
        </w:rPr>
        <w:t xml:space="preserve">Energy Efficiency in the South </w:t>
      </w:r>
      <w:r w:rsidR="00C8588C" w:rsidRPr="003F22E4">
        <w:rPr>
          <w:rFonts w:ascii="Times" w:hAnsi="Times"/>
          <w:sz w:val="24"/>
          <w:szCs w:val="24"/>
        </w:rPr>
        <w:t>by</w:t>
      </w:r>
      <w:r w:rsidR="00C8588C" w:rsidRPr="003F22E4">
        <w:rPr>
          <w:rFonts w:ascii="Times" w:hAnsi="Times"/>
          <w:i/>
          <w:sz w:val="24"/>
          <w:szCs w:val="24"/>
        </w:rPr>
        <w:t xml:space="preserve"> </w:t>
      </w:r>
      <w:r w:rsidR="0002061F" w:rsidRPr="003F22E4">
        <w:rPr>
          <w:rFonts w:ascii="Times" w:hAnsi="Times"/>
          <w:sz w:val="24"/>
          <w:szCs w:val="24"/>
        </w:rPr>
        <w:t>Brown et al.</w:t>
      </w:r>
      <w:r w:rsidR="00C8588C" w:rsidRPr="003F22E4">
        <w:rPr>
          <w:rFonts w:ascii="Times" w:hAnsi="Times"/>
          <w:sz w:val="24"/>
          <w:szCs w:val="24"/>
        </w:rPr>
        <w:t xml:space="preserve"> (2010).  </w:t>
      </w:r>
    </w:p>
    <w:p w:rsidR="00CB09C8" w:rsidRPr="003F22E4" w:rsidRDefault="00124638" w:rsidP="00152751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124638">
        <w:rPr>
          <w:rFonts w:ascii="Times" w:hAnsi="Times"/>
          <w:b/>
          <w:noProof/>
          <w:sz w:val="24"/>
          <w:szCs w:val="24"/>
          <w:lang w:eastAsia="en-US"/>
        </w:rPr>
        <w:drawing>
          <wp:inline distT="0" distB="0" distL="0" distR="0">
            <wp:extent cx="5305425" cy="2581275"/>
            <wp:effectExtent l="0" t="0" r="9525" b="0"/>
            <wp:docPr id="241" name="Chart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57A" w:rsidRDefault="00FB1B94" w:rsidP="00C52762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Figure 4</w:t>
      </w:r>
      <w:r w:rsidR="00D84B91" w:rsidRPr="003F22E4">
        <w:rPr>
          <w:rFonts w:ascii="Times" w:hAnsi="Times"/>
          <w:b/>
          <w:sz w:val="24"/>
          <w:szCs w:val="24"/>
        </w:rPr>
        <w:t xml:space="preserve">: </w:t>
      </w:r>
      <w:r w:rsidR="00A01E2B" w:rsidRPr="003F22E4">
        <w:rPr>
          <w:rFonts w:ascii="Times" w:hAnsi="Times"/>
          <w:b/>
          <w:sz w:val="24"/>
          <w:szCs w:val="24"/>
        </w:rPr>
        <w:t xml:space="preserve">Energy Efficiency </w:t>
      </w:r>
      <w:r w:rsidR="00D84B91" w:rsidRPr="003F22E4">
        <w:rPr>
          <w:rFonts w:ascii="Times" w:hAnsi="Times"/>
          <w:b/>
          <w:sz w:val="24"/>
          <w:szCs w:val="24"/>
        </w:rPr>
        <w:t xml:space="preserve">Potential in </w:t>
      </w:r>
      <w:r w:rsidR="008E0BF3" w:rsidRPr="003F22E4">
        <w:rPr>
          <w:rFonts w:ascii="Times" w:hAnsi="Times"/>
          <w:b/>
          <w:sz w:val="24"/>
          <w:szCs w:val="24"/>
        </w:rPr>
        <w:t>South Carolina</w:t>
      </w:r>
      <w:r w:rsidR="00D84B91" w:rsidRPr="003F22E4">
        <w:rPr>
          <w:rFonts w:ascii="Times" w:hAnsi="Times"/>
          <w:b/>
          <w:sz w:val="24"/>
          <w:szCs w:val="24"/>
        </w:rPr>
        <w:t xml:space="preserve"> </w:t>
      </w:r>
    </w:p>
    <w:p w:rsidR="00D84B91" w:rsidRPr="00C52762" w:rsidRDefault="00A2357A" w:rsidP="00A2357A">
      <w:pPr>
        <w:rPr>
          <w:rFonts w:ascii="Times" w:hAnsi="Times"/>
          <w:b/>
          <w:sz w:val="20"/>
          <w:szCs w:val="24"/>
        </w:rPr>
      </w:pPr>
      <w:r w:rsidRPr="00C52762">
        <w:rPr>
          <w:rFonts w:ascii="Times" w:hAnsi="Times"/>
          <w:b/>
          <w:sz w:val="20"/>
          <w:szCs w:val="24"/>
        </w:rPr>
        <w:t>(</w:t>
      </w:r>
      <w:r w:rsidRPr="00C52762">
        <w:rPr>
          <w:rFonts w:ascii="Times" w:hAnsi="Times"/>
          <w:sz w:val="20"/>
          <w:szCs w:val="24"/>
        </w:rPr>
        <w:t>Note: The baseline includes projected transportation sector consumption, as well as residential, commercial and industrial consumption.)</w:t>
      </w:r>
    </w:p>
    <w:p w:rsidR="00CA29C2" w:rsidRPr="00124638" w:rsidRDefault="00B40165" w:rsidP="00124638">
      <w:pPr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>The commercial and residential sectors</w:t>
      </w:r>
      <w:r w:rsidR="008106BE" w:rsidRPr="003F22E4">
        <w:rPr>
          <w:rFonts w:ascii="Times" w:hAnsi="Times"/>
          <w:sz w:val="24"/>
          <w:szCs w:val="24"/>
        </w:rPr>
        <w:t xml:space="preserve"> </w:t>
      </w:r>
      <w:r w:rsidR="000C4C81" w:rsidRPr="003F22E4">
        <w:rPr>
          <w:rFonts w:ascii="Times" w:hAnsi="Times"/>
          <w:sz w:val="24"/>
          <w:szCs w:val="24"/>
        </w:rPr>
        <w:t>offer the greatest energy efficiency potential</w:t>
      </w:r>
      <w:r w:rsidR="008106BE" w:rsidRPr="003F22E4">
        <w:rPr>
          <w:rFonts w:ascii="Times" w:hAnsi="Times"/>
          <w:sz w:val="24"/>
          <w:szCs w:val="24"/>
        </w:rPr>
        <w:t xml:space="preserve"> in </w:t>
      </w:r>
      <w:r w:rsidR="008E0BF3" w:rsidRPr="003F22E4">
        <w:rPr>
          <w:rFonts w:ascii="Times" w:hAnsi="Times"/>
          <w:sz w:val="24"/>
          <w:szCs w:val="24"/>
        </w:rPr>
        <w:t>South Carolina</w:t>
      </w:r>
      <w:r w:rsidR="00C8588C" w:rsidRPr="003F22E4">
        <w:rPr>
          <w:rFonts w:ascii="Times" w:hAnsi="Times"/>
          <w:sz w:val="24"/>
          <w:szCs w:val="24"/>
        </w:rPr>
        <w:t xml:space="preserve"> (</w:t>
      </w:r>
      <w:r w:rsidR="00FB1B94" w:rsidRPr="003F22E4">
        <w:rPr>
          <w:rFonts w:ascii="Times" w:hAnsi="Times"/>
          <w:sz w:val="24"/>
          <w:szCs w:val="24"/>
        </w:rPr>
        <w:t>Figure 5</w:t>
      </w:r>
      <w:r w:rsidR="00C8588C" w:rsidRPr="003F22E4">
        <w:rPr>
          <w:rFonts w:ascii="Times" w:hAnsi="Times"/>
          <w:sz w:val="24"/>
          <w:szCs w:val="24"/>
        </w:rPr>
        <w:t>)</w:t>
      </w:r>
      <w:r w:rsidR="008106BE" w:rsidRPr="003F22E4">
        <w:rPr>
          <w:rFonts w:ascii="Times" w:hAnsi="Times"/>
          <w:sz w:val="24"/>
          <w:szCs w:val="24"/>
        </w:rPr>
        <w:t>.</w:t>
      </w:r>
      <w:r w:rsidR="007054AC" w:rsidRPr="003F22E4">
        <w:rPr>
          <w:rFonts w:ascii="Times" w:hAnsi="Times"/>
          <w:sz w:val="24"/>
          <w:szCs w:val="24"/>
        </w:rPr>
        <w:t xml:space="preserve"> </w:t>
      </w:r>
      <w:r w:rsidR="00B944F5" w:rsidRPr="003F22E4">
        <w:rPr>
          <w:rFonts w:ascii="Times" w:hAnsi="Times"/>
          <w:sz w:val="24"/>
          <w:szCs w:val="24"/>
        </w:rPr>
        <w:t xml:space="preserve"> </w:t>
      </w:r>
      <w:r w:rsidR="000C4C81" w:rsidRPr="003F22E4">
        <w:rPr>
          <w:rFonts w:ascii="Times" w:hAnsi="Times"/>
          <w:sz w:val="24"/>
          <w:szCs w:val="24"/>
        </w:rPr>
        <w:t>In 2020,</w:t>
      </w:r>
      <w:r w:rsidR="00CD2B48" w:rsidRPr="003F22E4">
        <w:rPr>
          <w:rFonts w:ascii="Times" w:hAnsi="Times"/>
          <w:sz w:val="24"/>
          <w:szCs w:val="24"/>
        </w:rPr>
        <w:t xml:space="preserve"> savings from </w:t>
      </w:r>
      <w:r w:rsidR="00D46B7E" w:rsidRPr="003F22E4">
        <w:rPr>
          <w:rFonts w:ascii="Times" w:hAnsi="Times"/>
          <w:sz w:val="24"/>
          <w:szCs w:val="24"/>
        </w:rPr>
        <w:t>all three sectors</w:t>
      </w:r>
      <w:r w:rsidR="008E0BF3" w:rsidRPr="003F22E4">
        <w:rPr>
          <w:rFonts w:ascii="Times" w:hAnsi="Times"/>
          <w:sz w:val="24"/>
          <w:szCs w:val="24"/>
        </w:rPr>
        <w:t xml:space="preserve"> </w:t>
      </w:r>
      <w:r w:rsidR="00CD2B48" w:rsidRPr="003F22E4">
        <w:rPr>
          <w:rFonts w:ascii="Times" w:hAnsi="Times"/>
          <w:sz w:val="24"/>
          <w:szCs w:val="24"/>
        </w:rPr>
        <w:t xml:space="preserve">is </w:t>
      </w:r>
      <w:r w:rsidR="00DB07AE" w:rsidRPr="003F22E4">
        <w:rPr>
          <w:rFonts w:ascii="Times" w:hAnsi="Times"/>
          <w:sz w:val="24"/>
          <w:szCs w:val="24"/>
        </w:rPr>
        <w:t xml:space="preserve">about </w:t>
      </w:r>
      <w:r w:rsidR="0079225E" w:rsidRPr="003F22E4">
        <w:rPr>
          <w:rFonts w:ascii="Times" w:hAnsi="Times"/>
          <w:sz w:val="24"/>
          <w:szCs w:val="24"/>
        </w:rPr>
        <w:t>7</w:t>
      </w:r>
      <w:r w:rsidR="00B416F7" w:rsidRPr="003F22E4">
        <w:rPr>
          <w:rFonts w:ascii="Times" w:hAnsi="Times"/>
          <w:sz w:val="24"/>
          <w:szCs w:val="24"/>
        </w:rPr>
        <w:t>%</w:t>
      </w:r>
      <w:r w:rsidR="003F22E4" w:rsidRPr="003F22E4">
        <w:rPr>
          <w:rFonts w:ascii="Times" w:hAnsi="Times"/>
          <w:sz w:val="24"/>
          <w:szCs w:val="24"/>
        </w:rPr>
        <w:t xml:space="preserve"> (1</w:t>
      </w:r>
      <w:r w:rsidR="00A94D5D">
        <w:rPr>
          <w:rFonts w:ascii="Times" w:hAnsi="Times"/>
          <w:sz w:val="24"/>
          <w:szCs w:val="24"/>
        </w:rPr>
        <w:t>2</w:t>
      </w:r>
      <w:r w:rsidR="003F22E4" w:rsidRPr="003F22E4">
        <w:rPr>
          <w:rFonts w:ascii="Times" w:hAnsi="Times"/>
          <w:sz w:val="24"/>
          <w:szCs w:val="24"/>
        </w:rPr>
        <w:t>0 TBtu)</w:t>
      </w:r>
      <w:r w:rsidR="00DB07AE" w:rsidRPr="003F22E4">
        <w:rPr>
          <w:rFonts w:ascii="Times" w:hAnsi="Times"/>
          <w:sz w:val="24"/>
          <w:szCs w:val="24"/>
        </w:rPr>
        <w:t xml:space="preserve"> the total energy consumed by the State in 2007</w:t>
      </w:r>
      <w:r w:rsidR="00D46B7E" w:rsidRPr="003F22E4">
        <w:rPr>
          <w:rFonts w:ascii="Times" w:hAnsi="Times"/>
          <w:sz w:val="24"/>
          <w:szCs w:val="24"/>
        </w:rPr>
        <w:t xml:space="preserve">.  </w:t>
      </w:r>
      <w:r w:rsidR="000C4C81" w:rsidRPr="003F22E4">
        <w:rPr>
          <w:rFonts w:ascii="Times" w:hAnsi="Times"/>
          <w:sz w:val="24"/>
          <w:szCs w:val="24"/>
        </w:rPr>
        <w:t>Electricity related savings constitute</w:t>
      </w:r>
      <w:r w:rsidR="00D46B7E" w:rsidRPr="003F22E4">
        <w:rPr>
          <w:rFonts w:ascii="Times" w:hAnsi="Times"/>
          <w:sz w:val="24"/>
          <w:szCs w:val="24"/>
        </w:rPr>
        <w:t xml:space="preserve"> </w:t>
      </w:r>
      <w:r w:rsidR="00A94D5D">
        <w:rPr>
          <w:rFonts w:ascii="Times" w:hAnsi="Times"/>
          <w:sz w:val="24"/>
          <w:szCs w:val="24"/>
        </w:rPr>
        <w:t>11</w:t>
      </w:r>
      <w:r w:rsidR="007E62AA" w:rsidRPr="003F22E4">
        <w:rPr>
          <w:rFonts w:ascii="Times" w:hAnsi="Times"/>
          <w:sz w:val="24"/>
          <w:szCs w:val="24"/>
        </w:rPr>
        <w:t>0</w:t>
      </w:r>
      <w:r w:rsidR="00D46B7E" w:rsidRPr="003F22E4">
        <w:rPr>
          <w:rFonts w:ascii="Times" w:hAnsi="Times"/>
          <w:sz w:val="24"/>
          <w:szCs w:val="24"/>
        </w:rPr>
        <w:t xml:space="preserve"> TBtu </w:t>
      </w:r>
      <w:r w:rsidR="000C4C81" w:rsidRPr="003F22E4">
        <w:rPr>
          <w:rFonts w:ascii="Times" w:hAnsi="Times"/>
          <w:sz w:val="24"/>
          <w:szCs w:val="24"/>
        </w:rPr>
        <w:t>of this amount</w:t>
      </w:r>
      <w:r w:rsidR="00D46B7E" w:rsidRPr="003F22E4">
        <w:rPr>
          <w:rFonts w:ascii="Times" w:hAnsi="Times"/>
          <w:sz w:val="24"/>
          <w:szCs w:val="24"/>
        </w:rPr>
        <w:t xml:space="preserve">.  </w:t>
      </w:r>
      <w:r w:rsidR="000C4C81" w:rsidRPr="003F22E4">
        <w:rPr>
          <w:rFonts w:ascii="Times" w:hAnsi="Times"/>
          <w:sz w:val="24"/>
          <w:szCs w:val="24"/>
        </w:rPr>
        <w:t>With these policies, the electricity generated by</w:t>
      </w:r>
      <w:r w:rsidR="00D46B7E" w:rsidRPr="003F22E4">
        <w:rPr>
          <w:rFonts w:ascii="Times" w:hAnsi="Times"/>
          <w:sz w:val="24"/>
          <w:szCs w:val="24"/>
        </w:rPr>
        <w:t xml:space="preserve"> </w:t>
      </w:r>
      <w:r w:rsidR="00431053" w:rsidRPr="003F22E4">
        <w:rPr>
          <w:rFonts w:ascii="Times" w:hAnsi="Times"/>
          <w:sz w:val="24"/>
          <w:szCs w:val="24"/>
        </w:rPr>
        <w:t>three</w:t>
      </w:r>
      <w:r w:rsidR="000C4C81" w:rsidRPr="003F22E4">
        <w:rPr>
          <w:rFonts w:ascii="Times" w:hAnsi="Times"/>
          <w:sz w:val="24"/>
          <w:szCs w:val="24"/>
        </w:rPr>
        <w:t xml:space="preserve"> 500-MW</w:t>
      </w:r>
      <w:r w:rsidR="00CD2B48" w:rsidRPr="003F22E4">
        <w:rPr>
          <w:rFonts w:ascii="Times" w:hAnsi="Times"/>
          <w:sz w:val="24"/>
          <w:szCs w:val="24"/>
        </w:rPr>
        <w:t xml:space="preserve"> p</w:t>
      </w:r>
      <w:r w:rsidR="00B944F5" w:rsidRPr="003F22E4">
        <w:rPr>
          <w:rFonts w:ascii="Times" w:hAnsi="Times"/>
          <w:sz w:val="24"/>
          <w:szCs w:val="24"/>
        </w:rPr>
        <w:t>ower plants</w:t>
      </w:r>
      <w:r w:rsidR="000C4C81" w:rsidRPr="003F22E4">
        <w:rPr>
          <w:rFonts w:ascii="Times" w:hAnsi="Times"/>
          <w:sz w:val="24"/>
          <w:szCs w:val="24"/>
        </w:rPr>
        <w:t xml:space="preserve"> </w:t>
      </w:r>
      <w:r w:rsidR="00585EBB">
        <w:rPr>
          <w:rFonts w:ascii="Times" w:hAnsi="Times"/>
          <w:sz w:val="24"/>
          <w:szCs w:val="24"/>
        </w:rPr>
        <w:t xml:space="preserve">in 2020 and five such plants in 2030 </w:t>
      </w:r>
      <w:r w:rsidR="000C4C81" w:rsidRPr="003F22E4">
        <w:rPr>
          <w:rFonts w:ascii="Times" w:hAnsi="Times"/>
          <w:sz w:val="24"/>
          <w:szCs w:val="24"/>
        </w:rPr>
        <w:t xml:space="preserve">could be </w:t>
      </w:r>
      <w:r w:rsidR="007E4197" w:rsidRPr="003F22E4">
        <w:rPr>
          <w:rFonts w:ascii="Times" w:hAnsi="Times"/>
          <w:sz w:val="24"/>
          <w:szCs w:val="24"/>
        </w:rPr>
        <w:t>avoided.</w:t>
      </w:r>
      <w:r w:rsidR="00C52762">
        <w:rPr>
          <w:rFonts w:ascii="Times" w:hAnsi="Times"/>
          <w:sz w:val="24"/>
          <w:szCs w:val="24"/>
          <w:vertAlign w:val="superscript"/>
        </w:rPr>
        <w:t>9</w:t>
      </w:r>
      <w:r w:rsidR="007E4197" w:rsidRPr="003F22E4">
        <w:rPr>
          <w:rFonts w:ascii="Times" w:hAnsi="Times"/>
          <w:sz w:val="24"/>
          <w:szCs w:val="24"/>
        </w:rPr>
        <w:t xml:space="preserve"> </w:t>
      </w:r>
      <w:r w:rsidR="007E4197">
        <w:rPr>
          <w:rFonts w:ascii="Times" w:hAnsi="Times"/>
          <w:sz w:val="24"/>
          <w:szCs w:val="24"/>
        </w:rPr>
        <w:t xml:space="preserve"> </w:t>
      </w:r>
    </w:p>
    <w:p w:rsidR="00CA29C2" w:rsidRPr="003F22E4" w:rsidRDefault="00CA29C2" w:rsidP="00152751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noProof/>
          <w:sz w:val="24"/>
          <w:szCs w:val="24"/>
          <w:lang w:eastAsia="en-US"/>
        </w:rPr>
        <w:drawing>
          <wp:inline distT="0" distB="0" distL="0" distR="0">
            <wp:extent cx="5448300" cy="2390775"/>
            <wp:effectExtent l="0" t="0" r="0" b="0"/>
            <wp:docPr id="1" name="Chart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29C2" w:rsidRPr="003F22E4" w:rsidRDefault="00CA29C2" w:rsidP="00152751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Figure 5: Energy Efficiency Potential by Sector in South Carolina, 2020 and 2030</w:t>
      </w:r>
    </w:p>
    <w:p w:rsidR="00CA29C2" w:rsidRPr="003F22E4" w:rsidRDefault="00CA29C2" w:rsidP="00152751">
      <w:pPr>
        <w:spacing w:after="0"/>
        <w:rPr>
          <w:rFonts w:ascii="Times" w:hAnsi="Times"/>
          <w:b/>
          <w:sz w:val="24"/>
          <w:szCs w:val="24"/>
        </w:rPr>
      </w:pPr>
    </w:p>
    <w:p w:rsidR="00CA29C2" w:rsidRPr="003F22E4" w:rsidRDefault="00CA29C2" w:rsidP="00152751">
      <w:pPr>
        <w:spacing w:after="0"/>
        <w:rPr>
          <w:rFonts w:ascii="Times" w:hAnsi="Times"/>
          <w:b/>
          <w:i/>
          <w:sz w:val="24"/>
          <w:szCs w:val="24"/>
        </w:rPr>
      </w:pPr>
      <w:r w:rsidRPr="003F22E4">
        <w:rPr>
          <w:rFonts w:ascii="Times" w:hAnsi="Times"/>
          <w:b/>
          <w:i/>
          <w:sz w:val="24"/>
          <w:szCs w:val="24"/>
        </w:rPr>
        <w:t>Residential Sector</w:t>
      </w:r>
    </w:p>
    <w:p w:rsidR="00431053" w:rsidRPr="003F22E4" w:rsidRDefault="00930B35" w:rsidP="00431053">
      <w:pPr>
        <w:spacing w:after="0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 xml:space="preserve">Four residential energy efficiency policies were examined: more stringent building codes with third party verification, improved appliance standards and incentives, </w:t>
      </w:r>
      <w:r w:rsidR="00DB42E5">
        <w:rPr>
          <w:rFonts w:ascii="Times" w:hAnsi="Times"/>
          <w:sz w:val="24"/>
          <w:szCs w:val="24"/>
        </w:rPr>
        <w:t>an expanded</w:t>
      </w:r>
      <w:r w:rsidRPr="003F22E4">
        <w:rPr>
          <w:rFonts w:ascii="Times" w:hAnsi="Times"/>
          <w:sz w:val="24"/>
          <w:szCs w:val="24"/>
        </w:rPr>
        <w:t xml:space="preserve"> Weatherization Assistance Prog</w:t>
      </w:r>
      <w:r w:rsidR="00DB42E5">
        <w:rPr>
          <w:rFonts w:ascii="Times" w:hAnsi="Times"/>
          <w:sz w:val="24"/>
          <w:szCs w:val="24"/>
        </w:rPr>
        <w:t>ram, and retrofit incentives with</w:t>
      </w:r>
      <w:r w:rsidRPr="003F22E4">
        <w:rPr>
          <w:rFonts w:ascii="Times" w:hAnsi="Times"/>
          <w:sz w:val="24"/>
          <w:szCs w:val="24"/>
        </w:rPr>
        <w:t xml:space="preserve"> increased equipment standards. Their implementation could reduce South Carolina’s projected residential consumption by about 10% (38 TBtu) in 2020 and 16% (62 TBtu) in 2030 (Figure 6).</w:t>
      </w:r>
      <w:r w:rsidR="00431053" w:rsidRPr="003F22E4">
        <w:rPr>
          <w:rFonts w:ascii="Times" w:hAnsi="Times"/>
          <w:sz w:val="24"/>
          <w:szCs w:val="24"/>
        </w:rPr>
        <w:t xml:space="preserve"> </w:t>
      </w:r>
      <w:r w:rsidRPr="003F22E4">
        <w:rPr>
          <w:rFonts w:ascii="Times" w:hAnsi="Times"/>
          <w:sz w:val="24"/>
          <w:szCs w:val="24"/>
        </w:rPr>
        <w:t xml:space="preserve"> </w:t>
      </w:r>
    </w:p>
    <w:p w:rsidR="00930B35" w:rsidRPr="00C52762" w:rsidRDefault="00930B35" w:rsidP="00930B35">
      <w:pPr>
        <w:spacing w:after="0"/>
        <w:rPr>
          <w:rFonts w:ascii="Times" w:hAnsi="Times"/>
          <w:sz w:val="20"/>
          <w:szCs w:val="24"/>
        </w:rPr>
      </w:pPr>
    </w:p>
    <w:tbl>
      <w:tblPr>
        <w:tblW w:w="10458" w:type="dxa"/>
        <w:jc w:val="center"/>
        <w:tblLayout w:type="fixed"/>
        <w:tblLook w:val="04A0"/>
      </w:tblPr>
      <w:tblGrid>
        <w:gridCol w:w="4968"/>
        <w:gridCol w:w="5490"/>
      </w:tblGrid>
      <w:tr w:rsidR="00CA29C2" w:rsidRPr="003F22E4">
        <w:trPr>
          <w:trHeight w:val="3600"/>
          <w:jc w:val="center"/>
        </w:trPr>
        <w:tc>
          <w:tcPr>
            <w:tcW w:w="4968" w:type="dxa"/>
          </w:tcPr>
          <w:p w:rsidR="00CA29C2" w:rsidRPr="003F22E4" w:rsidRDefault="00930B35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946400" cy="2114550"/>
                  <wp:effectExtent l="0" t="0" r="6350" b="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A29C2" w:rsidRPr="003F22E4" w:rsidRDefault="00CA29C2" w:rsidP="002E209C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>Figure 6: Residential Sector Savings</w:t>
            </w:r>
          </w:p>
        </w:tc>
        <w:tc>
          <w:tcPr>
            <w:tcW w:w="5490" w:type="dxa"/>
          </w:tcPr>
          <w:p w:rsidR="00CA29C2" w:rsidRPr="003F22E4" w:rsidRDefault="00930B35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57550" cy="2105025"/>
                  <wp:effectExtent l="0" t="0" r="0" b="0"/>
                  <wp:docPr id="49" name="Chart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A29C2" w:rsidRPr="003F22E4" w:rsidRDefault="00CA29C2" w:rsidP="002E209C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 xml:space="preserve"> Figure 7: Residential Sector Savings by Fuel Type</w:t>
            </w:r>
          </w:p>
        </w:tc>
      </w:tr>
    </w:tbl>
    <w:p w:rsidR="003D3883" w:rsidRDefault="003D3883" w:rsidP="00505491">
      <w:pPr>
        <w:spacing w:after="0"/>
        <w:rPr>
          <w:rFonts w:ascii="Times" w:hAnsi="Times"/>
          <w:sz w:val="24"/>
          <w:szCs w:val="24"/>
        </w:rPr>
      </w:pPr>
    </w:p>
    <w:p w:rsidR="00505491" w:rsidRPr="003F22E4" w:rsidRDefault="00505491" w:rsidP="00505491">
      <w:pPr>
        <w:spacing w:after="0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 xml:space="preserve">In 2020, the residential energy required by about 180,000 households in South Carolina can be avoided by these policies, representing about $310 in annual energy savings per household.  The principal savings are from electricity (Figure 7).  With these policies, the projected growth in residential energy consumption could be eliminated. </w:t>
      </w:r>
    </w:p>
    <w:p w:rsidR="00930B35" w:rsidRPr="003F22E4" w:rsidRDefault="00CA29C2" w:rsidP="00152751">
      <w:pPr>
        <w:spacing w:after="0"/>
        <w:rPr>
          <w:rFonts w:ascii="Times" w:hAnsi="Times"/>
          <w:b/>
          <w:i/>
          <w:sz w:val="24"/>
          <w:szCs w:val="24"/>
        </w:rPr>
      </w:pPr>
      <w:r w:rsidRPr="003F22E4">
        <w:rPr>
          <w:rFonts w:ascii="Times" w:hAnsi="Times"/>
          <w:b/>
          <w:i/>
          <w:sz w:val="24"/>
          <w:szCs w:val="24"/>
        </w:rPr>
        <w:t>Commercial Sector</w:t>
      </w:r>
    </w:p>
    <w:p w:rsidR="00CA29C2" w:rsidRPr="003F22E4" w:rsidRDefault="00D437AE" w:rsidP="00152751">
      <w:pPr>
        <w:spacing w:after="0"/>
        <w:rPr>
          <w:rFonts w:ascii="Times" w:hAnsi="Times"/>
          <w:sz w:val="24"/>
          <w:szCs w:val="24"/>
        </w:rPr>
      </w:pPr>
      <w:r w:rsidRPr="00B7700B">
        <w:rPr>
          <w:rFonts w:ascii="Times" w:hAnsi="Times" w:cs="Times"/>
          <w:color w:val="000000"/>
          <w:sz w:val="24"/>
        </w:rPr>
        <w:t xml:space="preserve">The implementation of appliance standards and retrofit policies in South Carolina’s commercial sector could reduce projected energy consumption in 2020 by approximately 14%, and by 21% in 2030 (Figure 8).  In 2020, the commercial sector could save about 41 TBtu , which is equivalent to the amount of energy </w:t>
      </w:r>
      <w:r w:rsidR="00CF312B" w:rsidRPr="00B7700B">
        <w:rPr>
          <w:rFonts w:ascii="Times" w:hAnsi="Times" w:cs="Times"/>
          <w:color w:val="000000"/>
          <w:sz w:val="24"/>
        </w:rPr>
        <w:t>that 1,</w:t>
      </w:r>
      <w:r w:rsidR="00CB7AB4">
        <w:rPr>
          <w:rFonts w:ascii="Times" w:hAnsi="Times" w:cs="Times"/>
          <w:color w:val="000000"/>
          <w:sz w:val="24"/>
        </w:rPr>
        <w:t>20</w:t>
      </w:r>
      <w:r w:rsidR="00CB7AB4" w:rsidRPr="00B7700B">
        <w:rPr>
          <w:rFonts w:ascii="Times" w:hAnsi="Times" w:cs="Times"/>
          <w:color w:val="000000"/>
          <w:sz w:val="24"/>
        </w:rPr>
        <w:t xml:space="preserve">0 </w:t>
      </w:r>
      <w:r w:rsidR="00CF312B" w:rsidRPr="00B7700B">
        <w:rPr>
          <w:rFonts w:ascii="Times" w:hAnsi="Times" w:cs="Times"/>
          <w:color w:val="000000"/>
          <w:sz w:val="24"/>
        </w:rPr>
        <w:t>Wal-Mart stores use</w:t>
      </w:r>
      <w:r w:rsidRPr="00B7700B">
        <w:rPr>
          <w:rFonts w:ascii="Times" w:hAnsi="Times" w:cs="Times"/>
          <w:color w:val="000000"/>
          <w:sz w:val="24"/>
        </w:rPr>
        <w:t xml:space="preserve"> a year.</w:t>
      </w:r>
      <w:r>
        <w:t xml:space="preserve">  </w:t>
      </w:r>
      <w:r>
        <w:rPr>
          <w:rFonts w:ascii="Times" w:eastAsia="Times New Roman" w:hAnsi="Times" w:cs="Times"/>
          <w:color w:val="000000"/>
          <w:sz w:val="24"/>
          <w:szCs w:val="24"/>
        </w:rPr>
        <w:t>Each business in South Carolina could save $52,000 on average</w:t>
      </w:r>
      <w:r w:rsidR="00930B35" w:rsidRPr="003F22E4">
        <w:rPr>
          <w:rFonts w:ascii="Times" w:hAnsi="Times"/>
          <w:sz w:val="24"/>
          <w:szCs w:val="24"/>
        </w:rPr>
        <w:t>.</w:t>
      </w:r>
      <w:r w:rsidR="00C52762">
        <w:rPr>
          <w:rFonts w:ascii="Times" w:hAnsi="Times"/>
          <w:sz w:val="24"/>
          <w:szCs w:val="24"/>
          <w:vertAlign w:val="superscript"/>
        </w:rPr>
        <w:t>10</w:t>
      </w:r>
      <w:r w:rsidR="00930B35" w:rsidRPr="003F22E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</w:t>
      </w:r>
      <w:r w:rsidR="00930B35" w:rsidRPr="003F22E4">
        <w:rPr>
          <w:rFonts w:ascii="Times" w:hAnsi="Times"/>
          <w:sz w:val="24"/>
          <w:szCs w:val="24"/>
        </w:rPr>
        <w:t>The principal energy savings are from electricity, with natural gas and other fuels providing additional savings (Figure 9).  The rapid growth of commercial energy consumption forecast</w:t>
      </w:r>
      <w:r w:rsidR="00431053" w:rsidRPr="003F22E4">
        <w:rPr>
          <w:rFonts w:ascii="Times" w:hAnsi="Times"/>
          <w:sz w:val="24"/>
          <w:szCs w:val="24"/>
        </w:rPr>
        <w:t>ed</w:t>
      </w:r>
      <w:r w:rsidR="00930B35" w:rsidRPr="003F22E4">
        <w:rPr>
          <w:rFonts w:ascii="Times" w:hAnsi="Times"/>
          <w:sz w:val="24"/>
          <w:szCs w:val="24"/>
        </w:rPr>
        <w:t xml:space="preserve"> for </w:t>
      </w:r>
      <w:r w:rsidR="006C486F" w:rsidRPr="003F22E4">
        <w:rPr>
          <w:rFonts w:ascii="Times" w:hAnsi="Times"/>
          <w:sz w:val="24"/>
          <w:szCs w:val="24"/>
        </w:rPr>
        <w:t>South Carolina</w:t>
      </w:r>
      <w:r w:rsidR="00930B35" w:rsidRPr="003F22E4">
        <w:rPr>
          <w:rFonts w:ascii="Times" w:hAnsi="Times"/>
          <w:sz w:val="24"/>
          <w:szCs w:val="24"/>
        </w:rPr>
        <w:t xml:space="preserve"> could be </w:t>
      </w:r>
      <w:r w:rsidR="006C486F" w:rsidRPr="003F22E4">
        <w:rPr>
          <w:rFonts w:ascii="Times" w:hAnsi="Times"/>
          <w:sz w:val="24"/>
          <w:szCs w:val="24"/>
        </w:rPr>
        <w:t xml:space="preserve">stalled and </w:t>
      </w:r>
      <w:r w:rsidR="00431053" w:rsidRPr="003F22E4">
        <w:rPr>
          <w:rFonts w:ascii="Times" w:hAnsi="Times"/>
          <w:sz w:val="24"/>
          <w:szCs w:val="24"/>
        </w:rPr>
        <w:t>slightly</w:t>
      </w:r>
      <w:r w:rsidR="006C486F" w:rsidRPr="003F22E4">
        <w:rPr>
          <w:rFonts w:ascii="Times" w:hAnsi="Times"/>
          <w:sz w:val="24"/>
          <w:szCs w:val="24"/>
        </w:rPr>
        <w:t xml:space="preserve"> reduced with these policies</w:t>
      </w:r>
      <w:r w:rsidR="00930B35" w:rsidRPr="003F22E4">
        <w:rPr>
          <w:rFonts w:ascii="Times" w:hAnsi="Times"/>
          <w:sz w:val="24"/>
          <w:szCs w:val="24"/>
        </w:rPr>
        <w:t xml:space="preserve">. </w:t>
      </w:r>
      <w:r w:rsidR="00CA29C2" w:rsidRPr="003F22E4">
        <w:rPr>
          <w:rFonts w:ascii="Times" w:hAnsi="Times"/>
          <w:sz w:val="24"/>
          <w:szCs w:val="24"/>
        </w:rPr>
        <w:t xml:space="preserve"> </w:t>
      </w:r>
    </w:p>
    <w:tbl>
      <w:tblPr>
        <w:tblW w:w="10593" w:type="dxa"/>
        <w:jc w:val="center"/>
        <w:tblLayout w:type="fixed"/>
        <w:tblLook w:val="04A0"/>
      </w:tblPr>
      <w:tblGrid>
        <w:gridCol w:w="5080"/>
        <w:gridCol w:w="5513"/>
      </w:tblGrid>
      <w:tr w:rsidR="00CA29C2" w:rsidRPr="003F22E4">
        <w:trPr>
          <w:trHeight w:val="3448"/>
          <w:jc w:val="center"/>
        </w:trPr>
        <w:tc>
          <w:tcPr>
            <w:tcW w:w="5080" w:type="dxa"/>
          </w:tcPr>
          <w:p w:rsidR="00CA29C2" w:rsidRPr="003F22E4" w:rsidRDefault="006C486F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060700" cy="1914525"/>
                  <wp:effectExtent l="0" t="0" r="6350" b="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CA29C2" w:rsidRPr="003F22E4" w:rsidRDefault="00CA29C2" w:rsidP="00152751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>Figure 8: Commercial Sector Savings</w:t>
            </w:r>
          </w:p>
        </w:tc>
        <w:tc>
          <w:tcPr>
            <w:tcW w:w="5513" w:type="dxa"/>
          </w:tcPr>
          <w:p w:rsidR="00CA29C2" w:rsidRPr="003F22E4" w:rsidRDefault="006C486F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95650" cy="1914525"/>
                  <wp:effectExtent l="0" t="0" r="0" b="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CA29C2" w:rsidRPr="003F22E4" w:rsidRDefault="00CA29C2" w:rsidP="00152751">
            <w:pPr>
              <w:spacing w:after="0"/>
              <w:jc w:val="center"/>
              <w:rPr>
                <w:rFonts w:ascii="Times" w:hAnsi="Times"/>
                <w:b/>
                <w:noProof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>Figure 9: Commercial Sector Savings by Fuel Type</w:t>
            </w:r>
          </w:p>
          <w:p w:rsidR="00CA29C2" w:rsidRPr="003F22E4" w:rsidRDefault="00CA29C2" w:rsidP="00152751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CA29C2" w:rsidRPr="003F22E4" w:rsidRDefault="00CA29C2" w:rsidP="00152751">
      <w:pPr>
        <w:spacing w:after="0"/>
        <w:rPr>
          <w:rFonts w:ascii="Times" w:hAnsi="Times"/>
          <w:b/>
          <w:i/>
          <w:sz w:val="24"/>
          <w:szCs w:val="24"/>
        </w:rPr>
      </w:pPr>
      <w:r w:rsidRPr="003F22E4">
        <w:rPr>
          <w:rFonts w:ascii="Times" w:hAnsi="Times"/>
          <w:b/>
          <w:i/>
          <w:sz w:val="24"/>
          <w:szCs w:val="24"/>
        </w:rPr>
        <w:t>Industrial Sector</w:t>
      </w:r>
    </w:p>
    <w:p w:rsidR="00294B65" w:rsidRPr="003F22E4" w:rsidRDefault="00294B65" w:rsidP="00294B65">
      <w:pPr>
        <w:spacing w:after="0"/>
        <w:rPr>
          <w:rFonts w:ascii="Times" w:hAnsi="Times"/>
          <w:sz w:val="24"/>
          <w:szCs w:val="24"/>
        </w:rPr>
      </w:pPr>
      <w:r w:rsidRPr="003F22E4">
        <w:rPr>
          <w:rFonts w:ascii="Times" w:hAnsi="Times"/>
          <w:sz w:val="24"/>
          <w:szCs w:val="24"/>
        </w:rPr>
        <w:t xml:space="preserve">The implementation of plant utility upgrades, process improvements, and improved combined heat and power policies in South Carolina’s industrial sector can reduce projected consumption by about </w:t>
      </w:r>
      <w:r w:rsidR="00883CDF">
        <w:rPr>
          <w:rFonts w:ascii="Times" w:hAnsi="Times"/>
          <w:sz w:val="24"/>
          <w:szCs w:val="24"/>
        </w:rPr>
        <w:t>6</w:t>
      </w:r>
      <w:r w:rsidRPr="003F22E4">
        <w:rPr>
          <w:rFonts w:ascii="Times" w:hAnsi="Times"/>
          <w:sz w:val="24"/>
          <w:szCs w:val="24"/>
        </w:rPr>
        <w:t>% (</w:t>
      </w:r>
      <w:r w:rsidR="00822B7D">
        <w:rPr>
          <w:rFonts w:ascii="Times" w:hAnsi="Times"/>
          <w:sz w:val="24"/>
          <w:szCs w:val="24"/>
        </w:rPr>
        <w:t>41</w:t>
      </w:r>
      <w:r w:rsidRPr="003F22E4">
        <w:rPr>
          <w:rFonts w:ascii="Times" w:hAnsi="Times"/>
          <w:sz w:val="24"/>
          <w:szCs w:val="24"/>
        </w:rPr>
        <w:t xml:space="preserve"> TBtu) in 2020 and </w:t>
      </w:r>
      <w:r w:rsidR="00883CDF">
        <w:rPr>
          <w:rFonts w:ascii="Times" w:hAnsi="Times"/>
          <w:sz w:val="24"/>
          <w:szCs w:val="24"/>
        </w:rPr>
        <w:t>7</w:t>
      </w:r>
      <w:r w:rsidRPr="003F22E4">
        <w:rPr>
          <w:rFonts w:ascii="Times" w:hAnsi="Times"/>
          <w:sz w:val="24"/>
          <w:szCs w:val="24"/>
        </w:rPr>
        <w:t>% (</w:t>
      </w:r>
      <w:r w:rsidR="00822B7D">
        <w:rPr>
          <w:rFonts w:ascii="Times" w:hAnsi="Times"/>
          <w:sz w:val="24"/>
          <w:szCs w:val="24"/>
        </w:rPr>
        <w:t>49</w:t>
      </w:r>
      <w:r w:rsidRPr="003F22E4">
        <w:rPr>
          <w:rFonts w:ascii="Times" w:hAnsi="Times"/>
          <w:sz w:val="24"/>
          <w:szCs w:val="24"/>
        </w:rPr>
        <w:t xml:space="preserve"> TBtu) in 2030 (Figure 10).  The industrial energy required by about </w:t>
      </w:r>
      <w:r w:rsidR="00822B7D">
        <w:rPr>
          <w:rFonts w:ascii="Times" w:hAnsi="Times"/>
          <w:sz w:val="24"/>
          <w:szCs w:val="24"/>
        </w:rPr>
        <w:t>5</w:t>
      </w:r>
      <w:r w:rsidRPr="003F22E4">
        <w:rPr>
          <w:rFonts w:ascii="Times" w:hAnsi="Times"/>
          <w:sz w:val="24"/>
          <w:szCs w:val="24"/>
        </w:rPr>
        <w:t>9 average industrial facilities could be avoided in 2020, roughly $</w:t>
      </w:r>
      <w:r w:rsidR="00884135" w:rsidRPr="003F22E4">
        <w:rPr>
          <w:rFonts w:ascii="Times" w:hAnsi="Times"/>
          <w:sz w:val="24"/>
          <w:szCs w:val="24"/>
        </w:rPr>
        <w:t>64,</w:t>
      </w:r>
      <w:r w:rsidR="00CB7AB4">
        <w:rPr>
          <w:rFonts w:ascii="Times" w:hAnsi="Times"/>
          <w:sz w:val="24"/>
          <w:szCs w:val="24"/>
        </w:rPr>
        <w:t>0</w:t>
      </w:r>
      <w:r w:rsidR="00CB7AB4" w:rsidRPr="003F22E4">
        <w:rPr>
          <w:rFonts w:ascii="Times" w:hAnsi="Times"/>
          <w:sz w:val="24"/>
          <w:szCs w:val="24"/>
        </w:rPr>
        <w:t xml:space="preserve">00 </w:t>
      </w:r>
      <w:r w:rsidRPr="003F22E4">
        <w:rPr>
          <w:rFonts w:ascii="Times" w:hAnsi="Times"/>
          <w:sz w:val="24"/>
          <w:szCs w:val="24"/>
        </w:rPr>
        <w:t>in annual energy savings per industrial facility.  The principal energy savings are from electricity (Figure 11).  These three energy efficiency policies could reduce the growing consumption of industrial energy</w:t>
      </w:r>
      <w:r w:rsidR="00971DDF">
        <w:rPr>
          <w:rFonts w:ascii="Times" w:hAnsi="Times"/>
          <w:sz w:val="24"/>
          <w:szCs w:val="24"/>
        </w:rPr>
        <w:t xml:space="preserve"> projected</w:t>
      </w:r>
      <w:r w:rsidRPr="003F22E4">
        <w:rPr>
          <w:rFonts w:ascii="Times" w:hAnsi="Times"/>
          <w:sz w:val="24"/>
          <w:szCs w:val="24"/>
        </w:rPr>
        <w:t xml:space="preserve"> over the next two decades.  </w:t>
      </w:r>
    </w:p>
    <w:tbl>
      <w:tblPr>
        <w:tblW w:w="10368" w:type="dxa"/>
        <w:jc w:val="center"/>
        <w:tblLayout w:type="fixed"/>
        <w:tblLook w:val="04A0"/>
      </w:tblPr>
      <w:tblGrid>
        <w:gridCol w:w="4878"/>
        <w:gridCol w:w="5490"/>
      </w:tblGrid>
      <w:tr w:rsidR="000C3BE0" w:rsidRPr="003F22E4">
        <w:trPr>
          <w:jc w:val="center"/>
        </w:trPr>
        <w:tc>
          <w:tcPr>
            <w:tcW w:w="4878" w:type="dxa"/>
          </w:tcPr>
          <w:p w:rsidR="000C3BE0" w:rsidRPr="003F22E4" w:rsidRDefault="00883CDF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</w:pPr>
            <w:r w:rsidRPr="00883CDF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124200" cy="2019300"/>
                  <wp:effectExtent l="0" t="0" r="0" b="0"/>
                  <wp:docPr id="58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0C3BE0" w:rsidRPr="003F22E4" w:rsidRDefault="000C3BE0" w:rsidP="00152751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 xml:space="preserve">Figure </w:t>
            </w:r>
            <w:r w:rsidR="00E003A9" w:rsidRPr="003F22E4">
              <w:rPr>
                <w:rFonts w:ascii="Times" w:hAnsi="Times"/>
                <w:b/>
                <w:noProof/>
                <w:sz w:val="24"/>
                <w:szCs w:val="24"/>
              </w:rPr>
              <w:t>10</w:t>
            </w: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 xml:space="preserve">: </w:t>
            </w:r>
            <w:r w:rsidRPr="003F22E4">
              <w:rPr>
                <w:rFonts w:ascii="Times" w:hAnsi="Times"/>
                <w:b/>
                <w:sz w:val="24"/>
                <w:szCs w:val="24"/>
              </w:rPr>
              <w:t>Industrial</w:t>
            </w:r>
            <w:r w:rsidRPr="003F22E4">
              <w:rPr>
                <w:rFonts w:ascii="Times" w:hAnsi="Times"/>
                <w:sz w:val="24"/>
                <w:szCs w:val="24"/>
              </w:rPr>
              <w:t xml:space="preserve"> </w:t>
            </w: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>Sector Savings</w:t>
            </w:r>
          </w:p>
        </w:tc>
        <w:tc>
          <w:tcPr>
            <w:tcW w:w="5490" w:type="dxa"/>
          </w:tcPr>
          <w:p w:rsidR="000C3BE0" w:rsidRPr="003F22E4" w:rsidRDefault="00883CDF" w:rsidP="00152751">
            <w:pPr>
              <w:spacing w:after="0"/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</w:pPr>
            <w:r w:rsidRPr="00883CDF">
              <w:rPr>
                <w:rFonts w:ascii="Times" w:hAnsi="Times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971800" cy="2009775"/>
                  <wp:effectExtent l="0" t="0" r="0" b="0"/>
                  <wp:docPr id="68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0C3BE0" w:rsidRPr="003F22E4" w:rsidRDefault="000C3BE0" w:rsidP="00152751">
            <w:pPr>
              <w:spacing w:after="0"/>
              <w:jc w:val="center"/>
              <w:rPr>
                <w:rFonts w:ascii="Times" w:hAnsi="Times"/>
                <w:b/>
                <w:noProof/>
                <w:sz w:val="24"/>
                <w:szCs w:val="24"/>
              </w:rPr>
            </w:pP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 xml:space="preserve">Figure </w:t>
            </w:r>
            <w:r w:rsidR="00E003A9" w:rsidRPr="003F22E4">
              <w:rPr>
                <w:rFonts w:ascii="Times" w:hAnsi="Times"/>
                <w:b/>
                <w:noProof/>
                <w:sz w:val="24"/>
                <w:szCs w:val="24"/>
              </w:rPr>
              <w:t>11</w:t>
            </w: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 xml:space="preserve">: </w:t>
            </w:r>
            <w:r w:rsidRPr="003F22E4">
              <w:rPr>
                <w:rFonts w:ascii="Times" w:hAnsi="Times"/>
                <w:b/>
                <w:sz w:val="24"/>
                <w:szCs w:val="24"/>
              </w:rPr>
              <w:t>Industrial</w:t>
            </w:r>
            <w:r w:rsidRPr="003F22E4">
              <w:rPr>
                <w:rFonts w:ascii="Times" w:hAnsi="Times"/>
                <w:sz w:val="24"/>
                <w:szCs w:val="24"/>
              </w:rPr>
              <w:t xml:space="preserve"> </w:t>
            </w:r>
            <w:r w:rsidRPr="003F22E4">
              <w:rPr>
                <w:rFonts w:ascii="Times" w:hAnsi="Times"/>
                <w:b/>
                <w:noProof/>
                <w:sz w:val="24"/>
                <w:szCs w:val="24"/>
              </w:rPr>
              <w:t>Sector Savings by Fuel Type</w:t>
            </w:r>
          </w:p>
        </w:tc>
      </w:tr>
    </w:tbl>
    <w:p w:rsidR="00E003A9" w:rsidRPr="003F22E4" w:rsidRDefault="00E003A9" w:rsidP="00152751">
      <w:pPr>
        <w:spacing w:after="0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Efficient Technology Opportunities</w:t>
      </w:r>
    </w:p>
    <w:p w:rsidR="00E003A9" w:rsidRPr="003F22E4" w:rsidRDefault="00E003A9" w:rsidP="00E003A9">
      <w:pPr>
        <w:pStyle w:val="Default"/>
        <w:spacing w:line="276" w:lineRule="auto"/>
        <w:rPr>
          <w:color w:val="auto"/>
        </w:rPr>
      </w:pPr>
      <w:r w:rsidRPr="003F22E4">
        <w:rPr>
          <w:color w:val="auto"/>
        </w:rPr>
        <w:t xml:space="preserve">The projected energy efficiency potential can be realized through an array of new and existing technologies.  </w:t>
      </w:r>
      <w:r w:rsidRPr="003F22E4">
        <w:rPr>
          <w:i/>
          <w:color w:val="auto"/>
        </w:rPr>
        <w:t xml:space="preserve">Energy Efficiency in the South </w:t>
      </w:r>
      <w:r w:rsidR="00CF312B">
        <w:rPr>
          <w:color w:val="auto"/>
        </w:rPr>
        <w:t>describes</w:t>
      </w:r>
      <w:r w:rsidRPr="003F22E4">
        <w:rPr>
          <w:color w:val="auto"/>
        </w:rPr>
        <w:t xml:space="preserve"> a number of these.</w:t>
      </w:r>
    </w:p>
    <w:p w:rsidR="00E003A9" w:rsidRPr="003F22E4" w:rsidRDefault="00E003A9" w:rsidP="00E003A9">
      <w:pPr>
        <w:pStyle w:val="Default"/>
        <w:spacing w:line="276" w:lineRule="auto"/>
        <w:rPr>
          <w:color w:val="auto"/>
        </w:rPr>
      </w:pPr>
    </w:p>
    <w:p w:rsidR="00E003A9" w:rsidRPr="003F22E4" w:rsidRDefault="00E003A9" w:rsidP="00E003A9">
      <w:pPr>
        <w:pStyle w:val="Default"/>
        <w:spacing w:line="276" w:lineRule="auto"/>
        <w:rPr>
          <w:color w:val="auto"/>
        </w:rPr>
      </w:pPr>
      <w:r w:rsidRPr="003F22E4">
        <w:rPr>
          <w:color w:val="auto"/>
        </w:rPr>
        <w:t xml:space="preserve">New residential products can provide greater energy savings without sacrificing performance.  For instance, recently available heat pump water heaters can cut annual energy costs for water heating </w:t>
      </w:r>
      <w:r w:rsidR="0070081E" w:rsidRPr="003F22E4">
        <w:rPr>
          <w:color w:val="auto"/>
        </w:rPr>
        <w:t xml:space="preserve">up to </w:t>
      </w:r>
      <w:r w:rsidRPr="003F22E4">
        <w:rPr>
          <w:color w:val="auto"/>
        </w:rPr>
        <w:t>62%.</w:t>
      </w:r>
      <w:r w:rsidR="00190F80" w:rsidRPr="003F22E4">
        <w:rPr>
          <w:color w:val="auto"/>
          <w:vertAlign w:val="superscript"/>
        </w:rPr>
        <w:t>1</w:t>
      </w:r>
      <w:r w:rsidR="00C52762">
        <w:rPr>
          <w:color w:val="auto"/>
          <w:vertAlign w:val="superscript"/>
        </w:rPr>
        <w:t>1</w:t>
      </w:r>
      <w:r w:rsidRPr="003F22E4">
        <w:rPr>
          <w:color w:val="auto"/>
        </w:rPr>
        <w:t xml:space="preserve">  </w:t>
      </w:r>
    </w:p>
    <w:p w:rsidR="00E003A9" w:rsidRPr="003F22E4" w:rsidRDefault="00E003A9" w:rsidP="00E003A9">
      <w:pPr>
        <w:pStyle w:val="Default"/>
        <w:spacing w:line="276" w:lineRule="auto"/>
        <w:rPr>
          <w:color w:val="auto"/>
        </w:rPr>
      </w:pPr>
    </w:p>
    <w:p w:rsidR="00E003A9" w:rsidRPr="003F22E4" w:rsidRDefault="00E003A9" w:rsidP="00E003A9">
      <w:pPr>
        <w:pStyle w:val="Default"/>
        <w:spacing w:line="276" w:lineRule="auto"/>
        <w:rPr>
          <w:color w:val="auto"/>
          <w:vertAlign w:val="superscript"/>
        </w:rPr>
      </w:pPr>
      <w:r w:rsidRPr="003F22E4">
        <w:rPr>
          <w:color w:val="auto"/>
        </w:rPr>
        <w:t>Opportunities for commercial energy efficiency may be obtained through technologies like the geothermal heat pump (ground-sou</w:t>
      </w:r>
      <w:r w:rsidR="00971DDF">
        <w:rPr>
          <w:color w:val="auto"/>
        </w:rPr>
        <w:t xml:space="preserve">rce heat pump), which </w:t>
      </w:r>
      <w:r w:rsidRPr="003F22E4">
        <w:rPr>
          <w:color w:val="auto"/>
        </w:rPr>
        <w:t>can reduce energy consumption by up to 44% when compared to air-source heat pumps and by up to 72% when compared to electric resistance heating with standard air-conditioning equipment.  Though the installation cost is higher, the long lifetime of 20-25 years ensures energy bill savings.</w:t>
      </w:r>
      <w:r w:rsidR="00190F80" w:rsidRPr="003F22E4">
        <w:rPr>
          <w:color w:val="auto"/>
          <w:vertAlign w:val="superscript"/>
        </w:rPr>
        <w:t>1</w:t>
      </w:r>
      <w:r w:rsidR="00C52762">
        <w:rPr>
          <w:color w:val="auto"/>
          <w:vertAlign w:val="superscript"/>
        </w:rPr>
        <w:t>2</w:t>
      </w:r>
    </w:p>
    <w:p w:rsidR="00E003A9" w:rsidRPr="003F22E4" w:rsidRDefault="00E003A9" w:rsidP="00E003A9">
      <w:pPr>
        <w:pStyle w:val="HTMLPreformatted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03A9" w:rsidRPr="003F22E4" w:rsidRDefault="00E003A9" w:rsidP="00E003A9">
      <w:pPr>
        <w:pStyle w:val="HTMLPreformatted"/>
        <w:spacing w:line="276" w:lineRule="auto"/>
        <w:rPr>
          <w:rFonts w:ascii="Times" w:hAnsi="Times"/>
          <w:sz w:val="24"/>
        </w:rPr>
      </w:pPr>
      <w:r w:rsidRPr="003F22E4">
        <w:rPr>
          <w:rFonts w:ascii="Times" w:hAnsi="Times"/>
          <w:sz w:val="24"/>
        </w:rPr>
        <w:t>Super b</w:t>
      </w:r>
      <w:r w:rsidR="00CF312B">
        <w:rPr>
          <w:rFonts w:ascii="Times" w:hAnsi="Times"/>
          <w:sz w:val="24"/>
        </w:rPr>
        <w:t>oilers, which represent over 95%</w:t>
      </w:r>
      <w:r w:rsidRPr="003F22E4">
        <w:rPr>
          <w:rFonts w:ascii="Times" w:hAnsi="Times"/>
          <w:sz w:val="24"/>
        </w:rPr>
        <w:t xml:space="preserve"> fuel-to-steam efficiency, can be implemented in the industrial sector.  This technology is able to improve heat transfer through the use of advanced firetubes with extended surfaces that help </w:t>
      </w:r>
      <w:r w:rsidR="00CF312B">
        <w:rPr>
          <w:rFonts w:ascii="Times" w:hAnsi="Times"/>
          <w:sz w:val="24"/>
        </w:rPr>
        <w:t>achieve a compact design by</w:t>
      </w:r>
      <w:r w:rsidRPr="003F22E4">
        <w:rPr>
          <w:rFonts w:ascii="Times" w:hAnsi="Times"/>
          <w:sz w:val="24"/>
        </w:rPr>
        <w:t xml:space="preserve"> reducing size, weight, and footprint.  The advanced heat recovery system combines compact economizers, a humidifying air heater, and a patented transport membrane condenser.</w:t>
      </w:r>
      <w:r w:rsidRPr="003F22E4">
        <w:rPr>
          <w:rStyle w:val="EndnoteReference"/>
          <w:rFonts w:ascii="Times" w:hAnsi="Times"/>
          <w:sz w:val="24"/>
        </w:rPr>
        <w:t xml:space="preserve"> </w:t>
      </w:r>
      <w:r w:rsidR="00190F80" w:rsidRPr="003F22E4">
        <w:rPr>
          <w:rFonts w:ascii="Times" w:hAnsi="Times"/>
          <w:sz w:val="24"/>
          <w:vertAlign w:val="superscript"/>
        </w:rPr>
        <w:t>1</w:t>
      </w:r>
      <w:r w:rsidR="00C52762">
        <w:rPr>
          <w:rFonts w:ascii="Times" w:hAnsi="Times"/>
          <w:sz w:val="24"/>
          <w:vertAlign w:val="superscript"/>
        </w:rPr>
        <w:t>3</w:t>
      </w:r>
      <w:r w:rsidRPr="003F22E4">
        <w:rPr>
          <w:rFonts w:ascii="Times" w:hAnsi="Times"/>
          <w:sz w:val="24"/>
        </w:rPr>
        <w:t xml:space="preserve">  </w:t>
      </w:r>
    </w:p>
    <w:p w:rsidR="00E003A9" w:rsidRPr="003F22E4" w:rsidRDefault="00E003A9" w:rsidP="00E003A9">
      <w:pPr>
        <w:pStyle w:val="HTMLPreformatted"/>
        <w:spacing w:line="276" w:lineRule="auto"/>
        <w:rPr>
          <w:rFonts w:ascii="Times" w:hAnsi="Times"/>
          <w:sz w:val="24"/>
        </w:rPr>
      </w:pPr>
    </w:p>
    <w:p w:rsidR="00E003A9" w:rsidRPr="003F22E4" w:rsidRDefault="00E003A9" w:rsidP="00E003A9">
      <w:pPr>
        <w:pStyle w:val="HTMLPreformatted"/>
        <w:spacing w:line="276" w:lineRule="auto"/>
        <w:rPr>
          <w:rFonts w:ascii="Times" w:hAnsi="Times"/>
          <w:sz w:val="24"/>
        </w:rPr>
      </w:pPr>
      <w:r w:rsidRPr="003F22E4">
        <w:rPr>
          <w:rFonts w:ascii="Times New Roman" w:hAnsi="Times New Roman"/>
          <w:sz w:val="24"/>
          <w:szCs w:val="24"/>
        </w:rPr>
        <w:t>These technologies are illustrative.</w:t>
      </w:r>
      <w:r w:rsidRPr="003F22E4">
        <w:rPr>
          <w:rFonts w:ascii="Times" w:hAnsi="Times"/>
          <w:sz w:val="24"/>
        </w:rPr>
        <w:t xml:space="preserve"> </w:t>
      </w:r>
      <w:r w:rsidRPr="003F22E4">
        <w:rPr>
          <w:rFonts w:ascii="Times New Roman" w:hAnsi="Times New Roman"/>
          <w:sz w:val="24"/>
          <w:szCs w:val="24"/>
        </w:rPr>
        <w:t xml:space="preserve"> Please refer to </w:t>
      </w:r>
      <w:r w:rsidRPr="003F22E4">
        <w:rPr>
          <w:rFonts w:ascii="Times New Roman" w:hAnsi="Times New Roman"/>
          <w:i/>
          <w:sz w:val="24"/>
          <w:szCs w:val="24"/>
        </w:rPr>
        <w:t>Energy Efficiency in the South</w:t>
      </w:r>
      <w:r w:rsidRPr="003F22E4">
        <w:rPr>
          <w:rFonts w:ascii="Times New Roman" w:hAnsi="Times New Roman"/>
          <w:sz w:val="24"/>
          <w:szCs w:val="24"/>
        </w:rPr>
        <w:t xml:space="preserve"> for additional technology descriptions and examples.</w:t>
      </w:r>
    </w:p>
    <w:p w:rsidR="002F1EDF" w:rsidRPr="003F22E4" w:rsidRDefault="002F1EDF" w:rsidP="00152751">
      <w:pPr>
        <w:spacing w:after="0"/>
        <w:rPr>
          <w:rFonts w:ascii="Times" w:hAnsi="Times"/>
          <w:b/>
          <w:sz w:val="24"/>
          <w:szCs w:val="24"/>
        </w:rPr>
      </w:pPr>
    </w:p>
    <w:p w:rsidR="00211D89" w:rsidRPr="00C52762" w:rsidRDefault="00E003A9" w:rsidP="00211D89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b/>
          <w:sz w:val="24"/>
          <w:szCs w:val="24"/>
        </w:rPr>
        <w:t>Economic and Financial Impacts</w:t>
      </w:r>
      <w:r w:rsidRPr="003F22E4">
        <w:rPr>
          <w:rFonts w:ascii="Times" w:hAnsi="Times"/>
          <w:sz w:val="24"/>
          <w:szCs w:val="24"/>
        </w:rPr>
        <w:br/>
      </w:r>
      <w:r w:rsidR="00AC3CE6" w:rsidRPr="00AC3CE6">
        <w:rPr>
          <w:rFonts w:ascii="Times" w:hAnsi="Times"/>
          <w:sz w:val="24"/>
          <w:szCs w:val="24"/>
        </w:rPr>
        <w:t xml:space="preserve">The nine energy efficiency policies evaluated in </w:t>
      </w:r>
      <w:r w:rsidR="00AC3CE6" w:rsidRPr="00AC3CE6">
        <w:rPr>
          <w:rFonts w:ascii="Times" w:hAnsi="Times"/>
          <w:i/>
          <w:sz w:val="24"/>
          <w:szCs w:val="24"/>
        </w:rPr>
        <w:t>Energy Efficiency in the South</w:t>
      </w:r>
      <w:r w:rsidR="00AC3CE6" w:rsidRPr="00AC3CE6">
        <w:rPr>
          <w:rFonts w:ascii="Times" w:hAnsi="Times"/>
          <w:sz w:val="24"/>
          <w:szCs w:val="24"/>
        </w:rPr>
        <w:t xml:space="preserve"> could reduce energy costs for South Carolina consumers and could generate jobs in the State (Table 1).  </w:t>
      </w:r>
      <w:r w:rsidR="00AC3CE6" w:rsidRPr="00AC3CE6">
        <w:rPr>
          <w:rFonts w:ascii="Times" w:hAnsi="Times"/>
          <w:color w:val="000000"/>
          <w:sz w:val="24"/>
          <w:szCs w:val="24"/>
        </w:rPr>
        <w:t>Residential, commercial and industrial consumers could benefit from total energy savings of $1.8 billion in 2020 ($1.0 billion of which is specific to electricity), and $3.0 billion in total energy savings in 2030.</w:t>
      </w:r>
      <w:r w:rsidR="006A54E6">
        <w:rPr>
          <w:rFonts w:ascii="Times" w:hAnsi="Times"/>
          <w:color w:val="000000"/>
          <w:sz w:val="24"/>
          <w:szCs w:val="24"/>
        </w:rPr>
        <w:t xml:space="preserve"> </w:t>
      </w:r>
      <w:r w:rsidR="00AC3CE6" w:rsidRPr="00AC3CE6">
        <w:rPr>
          <w:rFonts w:ascii="Times" w:hAnsi="Times"/>
          <w:color w:val="000000"/>
          <w:sz w:val="24"/>
          <w:szCs w:val="24"/>
        </w:rPr>
        <w:t xml:space="preserve"> </w:t>
      </w:r>
      <w:r w:rsidR="00AC3CE6" w:rsidRPr="00AC3CE6">
        <w:rPr>
          <w:rFonts w:ascii="Times" w:hAnsi="Times" w:cs="Times"/>
          <w:sz w:val="24"/>
          <w:szCs w:val="24"/>
        </w:rPr>
        <w:t>In comparison, South Carolina spent $5.9 billion on electricity in 2007</w:t>
      </w:r>
      <w:r w:rsidR="00211D89" w:rsidRPr="006A54E6">
        <w:rPr>
          <w:rFonts w:ascii="Times" w:hAnsi="Times"/>
          <w:sz w:val="24"/>
          <w:szCs w:val="24"/>
        </w:rPr>
        <w:t>.</w:t>
      </w:r>
      <w:r w:rsidR="00C52762">
        <w:rPr>
          <w:rFonts w:ascii="Times" w:hAnsi="Times"/>
          <w:sz w:val="24"/>
          <w:szCs w:val="24"/>
          <w:vertAlign w:val="superscript"/>
        </w:rPr>
        <w:t>14</w:t>
      </w:r>
    </w:p>
    <w:p w:rsidR="00211D89" w:rsidRPr="003F22E4" w:rsidRDefault="00211D89" w:rsidP="00211D89">
      <w:pPr>
        <w:spacing w:after="0"/>
        <w:rPr>
          <w:rFonts w:ascii="Times" w:hAnsi="Times"/>
          <w:sz w:val="24"/>
          <w:szCs w:val="24"/>
        </w:rPr>
      </w:pPr>
    </w:p>
    <w:p w:rsidR="00EA1ED1" w:rsidRPr="00C52762" w:rsidRDefault="00211D89" w:rsidP="00211D89">
      <w:pPr>
        <w:spacing w:after="0"/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Using an input-output calculation method from ACEEE – with state-specific impact coefficients and accounting for declines in employment in the electricity and natural gas sectors – we </w:t>
      </w:r>
      <w:r w:rsidRPr="00E53CF9">
        <w:rPr>
          <w:rFonts w:ascii="Times" w:hAnsi="Times"/>
          <w:sz w:val="24"/>
          <w:szCs w:val="24"/>
        </w:rPr>
        <w:t>estimated that South Carolina woul</w:t>
      </w:r>
      <w:r w:rsidR="001D0BE7">
        <w:rPr>
          <w:rFonts w:ascii="Times" w:hAnsi="Times"/>
          <w:sz w:val="24"/>
          <w:szCs w:val="24"/>
        </w:rPr>
        <w:t>d experience a net gain of 13,</w:t>
      </w:r>
      <w:r w:rsidR="00EA3D78">
        <w:rPr>
          <w:rFonts w:ascii="Times" w:hAnsi="Times"/>
          <w:sz w:val="24"/>
          <w:szCs w:val="24"/>
        </w:rPr>
        <w:t>400</w:t>
      </w:r>
      <w:r w:rsidR="00EA3D78" w:rsidRPr="00E53CF9">
        <w:rPr>
          <w:rFonts w:ascii="Times" w:hAnsi="Times"/>
          <w:sz w:val="24"/>
          <w:szCs w:val="24"/>
        </w:rPr>
        <w:t xml:space="preserve"> </w:t>
      </w:r>
      <w:r w:rsidR="001D0BE7">
        <w:rPr>
          <w:rFonts w:ascii="Times" w:hAnsi="Times"/>
          <w:sz w:val="24"/>
          <w:szCs w:val="24"/>
        </w:rPr>
        <w:t xml:space="preserve">jobs in 2020, growing to </w:t>
      </w:r>
      <w:r w:rsidR="00EA3D78">
        <w:rPr>
          <w:rFonts w:ascii="Times" w:hAnsi="Times"/>
          <w:sz w:val="24"/>
          <w:szCs w:val="24"/>
        </w:rPr>
        <w:t>17,800</w:t>
      </w:r>
      <w:r w:rsidRPr="00E53CF9">
        <w:rPr>
          <w:rFonts w:ascii="Times" w:hAnsi="Times"/>
          <w:sz w:val="24"/>
          <w:szCs w:val="24"/>
        </w:rPr>
        <w:t xml:space="preserve"> in 2030.  In comparison, there were 268,900 unemployed residents of South Carolina at the end of 2009.</w:t>
      </w:r>
      <w:r w:rsidR="00C52762">
        <w:rPr>
          <w:rFonts w:ascii="Times" w:hAnsi="Times"/>
          <w:sz w:val="24"/>
          <w:szCs w:val="24"/>
          <w:vertAlign w:val="superscript"/>
        </w:rPr>
        <w:t>15</w:t>
      </w:r>
    </w:p>
    <w:p w:rsidR="00EA1ED1" w:rsidRDefault="00EA1ED1" w:rsidP="00211D89">
      <w:pPr>
        <w:spacing w:after="0"/>
        <w:rPr>
          <w:rFonts w:ascii="Times" w:hAnsi="Times"/>
          <w:sz w:val="24"/>
          <w:szCs w:val="24"/>
        </w:rPr>
      </w:pPr>
    </w:p>
    <w:p w:rsidR="007E5A2F" w:rsidRPr="003F22E4" w:rsidRDefault="00563A4B" w:rsidP="00211D89">
      <w:pPr>
        <w:spacing w:after="0"/>
        <w:rPr>
          <w:rFonts w:ascii="Times" w:hAnsi="Times"/>
          <w:sz w:val="24"/>
          <w:szCs w:val="24"/>
        </w:rPr>
      </w:pPr>
      <w:r w:rsidRPr="00563A4B">
        <w:rPr>
          <w:rStyle w:val="apple-style-span"/>
          <w:rFonts w:ascii="Times" w:hAnsi="Times"/>
          <w:sz w:val="24"/>
          <w:szCs w:val="24"/>
        </w:rPr>
        <w:t xml:space="preserve">While the South's economy would grow as a result of the energy-efficiency policies, </w:t>
      </w:r>
      <w:r w:rsidR="001D0BE7">
        <w:rPr>
          <w:rStyle w:val="apple-style-span"/>
          <w:rFonts w:ascii="Times" w:hAnsi="Times"/>
          <w:sz w:val="24"/>
          <w:szCs w:val="24"/>
        </w:rPr>
        <w:t>South Carolina’s Gross State Product would grow by $</w:t>
      </w:r>
      <w:r w:rsidR="00EA3D78">
        <w:rPr>
          <w:rStyle w:val="apple-style-span"/>
          <w:rFonts w:ascii="Times" w:hAnsi="Times"/>
          <w:sz w:val="24"/>
          <w:szCs w:val="24"/>
        </w:rPr>
        <w:t xml:space="preserve">70 </w:t>
      </w:r>
      <w:r w:rsidR="001D0BE7">
        <w:rPr>
          <w:rStyle w:val="apple-style-span"/>
          <w:rFonts w:ascii="Times" w:hAnsi="Times"/>
          <w:sz w:val="24"/>
          <w:szCs w:val="24"/>
        </w:rPr>
        <w:t>million less in 2020 and $</w:t>
      </w:r>
      <w:r w:rsidR="00EA3D78">
        <w:rPr>
          <w:rStyle w:val="apple-style-span"/>
          <w:rFonts w:ascii="Times" w:hAnsi="Times"/>
          <w:sz w:val="24"/>
          <w:szCs w:val="24"/>
        </w:rPr>
        <w:t xml:space="preserve">122 </w:t>
      </w:r>
      <w:r w:rsidR="001D0BE7">
        <w:rPr>
          <w:rStyle w:val="apple-style-span"/>
          <w:rFonts w:ascii="Times" w:hAnsi="Times"/>
          <w:sz w:val="24"/>
          <w:szCs w:val="24"/>
        </w:rPr>
        <w:t>million less in 2030.</w:t>
      </w:r>
      <w:r w:rsidR="0074060C">
        <w:rPr>
          <w:rFonts w:ascii="Times" w:hAnsi="Times"/>
          <w:sz w:val="24"/>
          <w:szCs w:val="24"/>
        </w:rPr>
        <w:t xml:space="preserve"> </w:t>
      </w:r>
      <w:r w:rsidR="001D0BE7">
        <w:rPr>
          <w:rFonts w:ascii="Times" w:hAnsi="Times"/>
          <w:sz w:val="24"/>
          <w:szCs w:val="24"/>
        </w:rPr>
        <w:t xml:space="preserve"> </w:t>
      </w:r>
      <w:r w:rsidR="0074060C">
        <w:rPr>
          <w:rFonts w:ascii="Times" w:hAnsi="Times"/>
          <w:sz w:val="24"/>
          <w:szCs w:val="24"/>
        </w:rPr>
        <w:t>This c</w:t>
      </w:r>
      <w:r w:rsidR="00CF312B">
        <w:rPr>
          <w:rFonts w:ascii="Times" w:hAnsi="Times"/>
          <w:sz w:val="24"/>
          <w:szCs w:val="24"/>
        </w:rPr>
        <w:t>hange is a small fraction of</w:t>
      </w:r>
      <w:r w:rsidR="0074060C">
        <w:rPr>
          <w:rFonts w:ascii="Times" w:hAnsi="Times"/>
          <w:sz w:val="24"/>
          <w:szCs w:val="24"/>
        </w:rPr>
        <w:t xml:space="preserve"> South Carolina’s $</w:t>
      </w:r>
      <w:r w:rsidR="00CB7AB4">
        <w:rPr>
          <w:rFonts w:ascii="Times" w:hAnsi="Times"/>
          <w:sz w:val="24"/>
          <w:szCs w:val="24"/>
        </w:rPr>
        <w:t xml:space="preserve">126 </w:t>
      </w:r>
      <w:r w:rsidR="0074060C">
        <w:rPr>
          <w:rFonts w:ascii="Times" w:hAnsi="Times"/>
          <w:sz w:val="24"/>
          <w:szCs w:val="24"/>
        </w:rPr>
        <w:t>billion economy</w:t>
      </w:r>
      <w:r w:rsidRPr="00563A4B">
        <w:rPr>
          <w:rStyle w:val="apple-style-span"/>
          <w:rFonts w:ascii="Times" w:hAnsi="Times"/>
          <w:sz w:val="24"/>
          <w:szCs w:val="24"/>
        </w:rPr>
        <w:t>; the loss is due to the lower-than-average economic multiplier associated with energy-efficiency manufacturing and construction activities in South Carolina</w:t>
      </w:r>
      <w:r w:rsidR="00C52762">
        <w:rPr>
          <w:rFonts w:ascii="Times" w:hAnsi="Times"/>
          <w:sz w:val="24"/>
          <w:szCs w:val="24"/>
        </w:rPr>
        <w:t>.</w:t>
      </w:r>
      <w:r w:rsidR="00C52762">
        <w:rPr>
          <w:rFonts w:ascii="Times" w:hAnsi="Times"/>
          <w:sz w:val="24"/>
          <w:szCs w:val="24"/>
          <w:vertAlign w:val="superscript"/>
        </w:rPr>
        <w:t>16</w:t>
      </w:r>
      <w:r w:rsidR="00211D89" w:rsidRPr="003F22E4">
        <w:rPr>
          <w:rFonts w:ascii="Times" w:hAnsi="Times"/>
          <w:sz w:val="24"/>
          <w:szCs w:val="24"/>
        </w:rPr>
        <w:t xml:space="preserve">          </w:t>
      </w:r>
    </w:p>
    <w:p w:rsidR="00211D89" w:rsidRDefault="00211D89" w:rsidP="00211D89">
      <w:pPr>
        <w:spacing w:after="0"/>
        <w:rPr>
          <w:rFonts w:ascii="Times" w:hAnsi="Times"/>
          <w:sz w:val="24"/>
          <w:szCs w:val="24"/>
        </w:rPr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0"/>
        <w:gridCol w:w="1710"/>
        <w:gridCol w:w="1489"/>
      </w:tblGrid>
      <w:tr w:rsidR="006A54E6" w:rsidRPr="00850CE5">
        <w:trPr>
          <w:trHeight w:val="305"/>
          <w:jc w:val="center"/>
        </w:trPr>
        <w:tc>
          <w:tcPr>
            <w:tcW w:w="9819" w:type="dxa"/>
            <w:gridSpan w:val="3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45A6">
              <w:rPr>
                <w:rFonts w:ascii="Times" w:hAnsi="Times"/>
                <w:b/>
                <w:sz w:val="24"/>
                <w:szCs w:val="24"/>
              </w:rPr>
              <w:t xml:space="preserve">Table 1: Economic and Employment Impacts of Energy Efficiency 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shd w:val="clear" w:color="auto" w:fill="B6DDE8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45A6">
              <w:rPr>
                <w:rFonts w:ascii="Times" w:hAnsi="Times"/>
                <w:b/>
                <w:sz w:val="24"/>
                <w:szCs w:val="24"/>
              </w:rPr>
              <w:t>Indicator</w:t>
            </w:r>
          </w:p>
        </w:tc>
        <w:tc>
          <w:tcPr>
            <w:tcW w:w="1710" w:type="dxa"/>
            <w:shd w:val="clear" w:color="auto" w:fill="B6DDE8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45A6">
              <w:rPr>
                <w:rFonts w:ascii="Times" w:hAnsi="Times"/>
                <w:b/>
                <w:sz w:val="24"/>
                <w:szCs w:val="24"/>
              </w:rPr>
              <w:t>2020</w:t>
            </w:r>
          </w:p>
        </w:tc>
        <w:tc>
          <w:tcPr>
            <w:tcW w:w="1489" w:type="dxa"/>
            <w:shd w:val="clear" w:color="auto" w:fill="B6DDE8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E45A6">
              <w:rPr>
                <w:rFonts w:ascii="Times" w:hAnsi="Times"/>
                <w:b/>
                <w:sz w:val="24"/>
                <w:szCs w:val="24"/>
              </w:rPr>
              <w:t>2030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Public Sector Policy Financial Incentives (in million $2007)</w:t>
            </w:r>
          </w:p>
        </w:tc>
        <w:tc>
          <w:tcPr>
            <w:tcW w:w="1710" w:type="dxa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401</w:t>
            </w:r>
          </w:p>
        </w:tc>
        <w:tc>
          <w:tcPr>
            <w:tcW w:w="1489" w:type="dxa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572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Private Sector/Household Productive Investment (in million $2007)</w:t>
            </w:r>
          </w:p>
        </w:tc>
        <w:tc>
          <w:tcPr>
            <w:tcW w:w="1710" w:type="dxa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179</w:t>
            </w:r>
          </w:p>
        </w:tc>
        <w:tc>
          <w:tcPr>
            <w:tcW w:w="1489" w:type="dxa"/>
            <w:vAlign w:val="center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189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Change in Electricity Costs (in million $2007)</w:t>
            </w:r>
          </w:p>
        </w:tc>
        <w:tc>
          <w:tcPr>
            <w:tcW w:w="1710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-994</w:t>
            </w:r>
          </w:p>
        </w:tc>
        <w:tc>
          <w:tcPr>
            <w:tcW w:w="1489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-1,744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b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Change in Natural Gas Costs (in million $2007)</w:t>
            </w:r>
          </w:p>
        </w:tc>
        <w:tc>
          <w:tcPr>
            <w:tcW w:w="1710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-$178</w:t>
            </w:r>
          </w:p>
        </w:tc>
        <w:tc>
          <w:tcPr>
            <w:tcW w:w="1489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-$248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Annual Increased Employment (ACEEE Calculator)</w:t>
            </w:r>
          </w:p>
        </w:tc>
        <w:tc>
          <w:tcPr>
            <w:tcW w:w="1710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13,400</w:t>
            </w:r>
          </w:p>
        </w:tc>
        <w:tc>
          <w:tcPr>
            <w:tcW w:w="1489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17,800</w:t>
            </w:r>
          </w:p>
        </w:tc>
      </w:tr>
      <w:tr w:rsidR="006A54E6" w:rsidRPr="00850CE5">
        <w:trPr>
          <w:jc w:val="center"/>
        </w:trPr>
        <w:tc>
          <w:tcPr>
            <w:tcW w:w="6620" w:type="dxa"/>
            <w:vAlign w:val="center"/>
          </w:tcPr>
          <w:p w:rsidR="00B06C94" w:rsidRDefault="009E45A6">
            <w:pPr>
              <w:spacing w:before="120" w:after="0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Change in Gross State Product (in million $2007)</w:t>
            </w:r>
          </w:p>
        </w:tc>
        <w:tc>
          <w:tcPr>
            <w:tcW w:w="1710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-70</w:t>
            </w:r>
          </w:p>
        </w:tc>
        <w:tc>
          <w:tcPr>
            <w:tcW w:w="1489" w:type="dxa"/>
            <w:vAlign w:val="bottom"/>
          </w:tcPr>
          <w:p w:rsidR="00B06C94" w:rsidRDefault="009E45A6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E45A6">
              <w:rPr>
                <w:rFonts w:ascii="Times" w:hAnsi="Times"/>
                <w:sz w:val="24"/>
                <w:szCs w:val="24"/>
              </w:rPr>
              <w:t>-122</w:t>
            </w:r>
          </w:p>
        </w:tc>
      </w:tr>
    </w:tbl>
    <w:p w:rsidR="006A54E6" w:rsidRDefault="006A54E6" w:rsidP="006A54E6">
      <w:pPr>
        <w:spacing w:after="0"/>
        <w:rPr>
          <w:rFonts w:ascii="Times" w:hAnsi="Times"/>
          <w:sz w:val="24"/>
          <w:szCs w:val="24"/>
        </w:rPr>
      </w:pPr>
    </w:p>
    <w:p w:rsidR="00E003A9" w:rsidRPr="003F22E4" w:rsidRDefault="00E003A9" w:rsidP="00E003A9">
      <w:pPr>
        <w:spacing w:after="0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Conclusions</w:t>
      </w:r>
    </w:p>
    <w:p w:rsidR="00E003A9" w:rsidRPr="003F22E4" w:rsidRDefault="00E003A9" w:rsidP="00E003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22E4">
        <w:rPr>
          <w:rFonts w:ascii="Times New Roman" w:hAnsi="Times New Roman"/>
          <w:sz w:val="24"/>
          <w:szCs w:val="24"/>
        </w:rPr>
        <w:t xml:space="preserve">The energy efficiency policies described in this profile could set South Carolina on a course toward a </w:t>
      </w:r>
      <w:r w:rsidR="00971DDF">
        <w:rPr>
          <w:rFonts w:ascii="Times New Roman" w:hAnsi="Times New Roman"/>
          <w:sz w:val="24"/>
          <w:szCs w:val="24"/>
        </w:rPr>
        <w:t xml:space="preserve">more </w:t>
      </w:r>
      <w:r w:rsidRPr="003F22E4">
        <w:rPr>
          <w:rFonts w:ascii="Times New Roman" w:hAnsi="Times New Roman"/>
          <w:sz w:val="24"/>
          <w:szCs w:val="24"/>
        </w:rPr>
        <w:t xml:space="preserve">sustainable and prosperous energy future.  If utilized effectively, the State’s substantial energy-efficiency resources could reverse the long-term trend of ever-expanding energy consumption. With a </w:t>
      </w:r>
      <w:r w:rsidR="00971DDF">
        <w:rPr>
          <w:rFonts w:ascii="Times New Roman" w:hAnsi="Times New Roman"/>
          <w:sz w:val="24"/>
          <w:szCs w:val="24"/>
        </w:rPr>
        <w:t xml:space="preserve">sustained and </w:t>
      </w:r>
      <w:r w:rsidRPr="003F22E4">
        <w:rPr>
          <w:rFonts w:ascii="Times New Roman" w:hAnsi="Times New Roman"/>
          <w:sz w:val="24"/>
          <w:szCs w:val="24"/>
        </w:rPr>
        <w:t>concerted effort to use energy more wisely</w:t>
      </w:r>
      <w:r w:rsidR="00971DDF">
        <w:rPr>
          <w:rFonts w:ascii="Times New Roman" w:hAnsi="Times New Roman"/>
          <w:sz w:val="24"/>
          <w:szCs w:val="24"/>
        </w:rPr>
        <w:t>, South Carolina could create new job opportunities, and reduce its environmental footprint</w:t>
      </w:r>
      <w:r w:rsidRPr="003F22E4">
        <w:rPr>
          <w:rFonts w:ascii="Times New Roman" w:hAnsi="Times New Roman"/>
          <w:sz w:val="24"/>
          <w:szCs w:val="24"/>
        </w:rPr>
        <w:t>.</w:t>
      </w:r>
    </w:p>
    <w:p w:rsidR="00E003A9" w:rsidRPr="003F22E4" w:rsidRDefault="00E003A9" w:rsidP="00E003A9">
      <w:pPr>
        <w:spacing w:after="0"/>
        <w:rPr>
          <w:rFonts w:ascii="Times" w:hAnsi="Times"/>
          <w:sz w:val="24"/>
          <w:szCs w:val="24"/>
        </w:rPr>
      </w:pPr>
    </w:p>
    <w:p w:rsidR="0070081E" w:rsidRDefault="00E003A9" w:rsidP="003D3883">
      <w:pPr>
        <w:rPr>
          <w:rFonts w:ascii="Times" w:hAnsi="Times"/>
          <w:sz w:val="24"/>
          <w:szCs w:val="24"/>
          <w:vertAlign w:val="superscript"/>
        </w:rPr>
      </w:pPr>
      <w:r w:rsidRPr="003F22E4">
        <w:rPr>
          <w:rFonts w:ascii="Times" w:hAnsi="Times"/>
          <w:sz w:val="24"/>
          <w:szCs w:val="24"/>
        </w:rPr>
        <w:t xml:space="preserve">For more information on the methodology used to derive this state profile, please see </w:t>
      </w:r>
      <w:r w:rsidRPr="003F22E4">
        <w:rPr>
          <w:rFonts w:ascii="Times" w:hAnsi="Times"/>
          <w:i/>
          <w:sz w:val="24"/>
          <w:szCs w:val="24"/>
        </w:rPr>
        <w:t>Energy Efficiency in the South</w:t>
      </w:r>
      <w:r w:rsidRPr="003F22E4">
        <w:rPr>
          <w:rFonts w:ascii="Times" w:hAnsi="Times"/>
          <w:sz w:val="24"/>
          <w:szCs w:val="24"/>
        </w:rPr>
        <w:t>.</w:t>
      </w:r>
      <w:r w:rsidR="00C52762">
        <w:rPr>
          <w:rFonts w:ascii="Times" w:hAnsi="Times"/>
          <w:sz w:val="24"/>
          <w:szCs w:val="24"/>
          <w:vertAlign w:val="superscript"/>
        </w:rPr>
        <w:t>1</w:t>
      </w:r>
    </w:p>
    <w:p w:rsidR="00E003A9" w:rsidRPr="003F22E4" w:rsidRDefault="00E003A9" w:rsidP="00E00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22E4">
        <w:rPr>
          <w:rFonts w:ascii="Times New Roman" w:hAnsi="Times New Roman"/>
          <w:b/>
          <w:sz w:val="24"/>
          <w:szCs w:val="24"/>
        </w:rPr>
        <w:t>Acknowledgements</w:t>
      </w:r>
    </w:p>
    <w:p w:rsidR="00190F80" w:rsidRPr="003F22E4" w:rsidRDefault="00E003A9" w:rsidP="00E003A9">
      <w:pPr>
        <w:rPr>
          <w:rFonts w:ascii="Times New Roman" w:hAnsi="Times New Roman" w:cs="Arial"/>
          <w:sz w:val="24"/>
        </w:rPr>
      </w:pPr>
      <w:r w:rsidRPr="003F22E4">
        <w:rPr>
          <w:rFonts w:ascii="Times New Roman" w:hAnsi="Times New Roman" w:cs="Arial"/>
          <w:sz w:val="24"/>
        </w:rPr>
        <w:t>This study project is funded with support from the Energy Foundation (</w:t>
      </w:r>
      <w:hyperlink r:id="rId20" w:history="1">
        <w:r w:rsidRPr="003F22E4">
          <w:rPr>
            <w:rStyle w:val="Hyperlink"/>
            <w:rFonts w:ascii="Times New Roman" w:hAnsi="Times New Roman" w:cs="Arial"/>
            <w:color w:val="auto"/>
            <w:sz w:val="24"/>
          </w:rPr>
          <w:t>www.ef.org</w:t>
        </w:r>
      </w:hyperlink>
      <w:r w:rsidRPr="003F22E4">
        <w:rPr>
          <w:rFonts w:ascii="Times New Roman" w:hAnsi="Times New Roman" w:cs="Arial"/>
          <w:sz w:val="24"/>
        </w:rPr>
        <w:t>), the Kresge Foundation (</w:t>
      </w:r>
      <w:hyperlink r:id="rId21" w:history="1">
        <w:r w:rsidRPr="003F22E4">
          <w:rPr>
            <w:rStyle w:val="Hyperlink"/>
            <w:rFonts w:ascii="Times New Roman" w:hAnsi="Times New Roman" w:cs="Arial"/>
            <w:color w:val="auto"/>
            <w:sz w:val="24"/>
          </w:rPr>
          <w:t>www.kresge.org</w:t>
        </w:r>
      </w:hyperlink>
      <w:r w:rsidRPr="003F22E4">
        <w:rPr>
          <w:rFonts w:ascii="Times New Roman" w:hAnsi="Times New Roman" w:cs="Arial"/>
          <w:sz w:val="24"/>
        </w:rPr>
        <w:t>) and the Turner Foundation (</w:t>
      </w:r>
      <w:hyperlink r:id="rId22" w:history="1">
        <w:r w:rsidRPr="003F22E4">
          <w:rPr>
            <w:rStyle w:val="Hyperlink"/>
            <w:rFonts w:ascii="Times New Roman" w:hAnsi="Times New Roman" w:cs="Arial"/>
            <w:color w:val="auto"/>
            <w:sz w:val="24"/>
          </w:rPr>
          <w:t>www.turnerfoundation.org</w:t>
        </w:r>
      </w:hyperlink>
      <w:r w:rsidRPr="003F22E4">
        <w:rPr>
          <w:rFonts w:ascii="Times New Roman" w:hAnsi="Times New Roman" w:cs="Arial"/>
          <w:sz w:val="24"/>
        </w:rPr>
        <w:t>). The support of these three foundations is greatly appreciated.</w:t>
      </w:r>
    </w:p>
    <w:p w:rsidR="00190F80" w:rsidRPr="003F22E4" w:rsidRDefault="00190F80" w:rsidP="003D3883">
      <w:pPr>
        <w:spacing w:after="0"/>
        <w:rPr>
          <w:rFonts w:ascii="Times" w:hAnsi="Times"/>
          <w:b/>
          <w:sz w:val="24"/>
          <w:szCs w:val="24"/>
        </w:rPr>
      </w:pPr>
      <w:r w:rsidRPr="003F22E4">
        <w:rPr>
          <w:rFonts w:ascii="Times" w:hAnsi="Times"/>
          <w:b/>
          <w:sz w:val="24"/>
          <w:szCs w:val="24"/>
        </w:rPr>
        <w:t>Footnotes and References</w:t>
      </w:r>
    </w:p>
    <w:p w:rsidR="00B16DDC" w:rsidRPr="003F22E4" w:rsidRDefault="00190F80" w:rsidP="0065754A">
      <w:pPr>
        <w:pStyle w:val="EndnoteText"/>
        <w:spacing w:after="0"/>
        <w:ind w:left="360" w:hanging="360"/>
        <w:rPr>
          <w:rFonts w:ascii="Times" w:hAnsi="Times"/>
          <w:i/>
          <w:szCs w:val="24"/>
        </w:rPr>
      </w:pPr>
      <w:r w:rsidRPr="003F22E4">
        <w:rPr>
          <w:rFonts w:ascii="Times" w:hAnsi="Times"/>
          <w:szCs w:val="24"/>
        </w:rPr>
        <w:t xml:space="preserve">1.  </w:t>
      </w:r>
      <w:r w:rsidR="0065754A">
        <w:rPr>
          <w:rFonts w:ascii="Times" w:hAnsi="Times"/>
          <w:szCs w:val="24"/>
        </w:rPr>
        <w:t xml:space="preserve">  </w:t>
      </w:r>
      <w:r w:rsidRPr="003F22E4">
        <w:rPr>
          <w:rFonts w:ascii="Times" w:hAnsi="Times"/>
          <w:szCs w:val="24"/>
        </w:rPr>
        <w:t xml:space="preserve">Marilyn A. Brown, Etan Gumerman, Xiaojing Sun, Youngsun Baek, Joy </w:t>
      </w:r>
      <w:r w:rsidR="0065754A">
        <w:rPr>
          <w:rFonts w:ascii="Times" w:hAnsi="Times"/>
          <w:szCs w:val="24"/>
        </w:rPr>
        <w:t xml:space="preserve">Wang, Rodrigo Cortes, and Diran </w:t>
      </w:r>
      <w:r w:rsidRPr="003F22E4">
        <w:rPr>
          <w:rFonts w:ascii="Times" w:hAnsi="Times"/>
          <w:szCs w:val="24"/>
        </w:rPr>
        <w:t xml:space="preserve">Soumonni. (2010). </w:t>
      </w:r>
      <w:r w:rsidRPr="003F22E4">
        <w:rPr>
          <w:rFonts w:ascii="Times" w:hAnsi="Times"/>
          <w:i/>
          <w:szCs w:val="24"/>
        </w:rPr>
        <w:t xml:space="preserve">Energy Efficiency in the South. </w:t>
      </w:r>
      <w:r w:rsidR="009400CD">
        <w:rPr>
          <w:rFonts w:ascii="Times" w:hAnsi="Times"/>
          <w:color w:val="000000"/>
        </w:rPr>
        <w:t xml:space="preserve">Retrieved from </w:t>
      </w:r>
      <w:r w:rsidR="009400CD" w:rsidRPr="00AB436F">
        <w:rPr>
          <w:rFonts w:ascii="Times" w:hAnsi="Times"/>
          <w:color w:val="000000"/>
        </w:rPr>
        <w:t>http://www.seealliance.org/</w:t>
      </w:r>
      <w:r w:rsidR="009400CD">
        <w:rPr>
          <w:rFonts w:ascii="Times" w:hAnsi="Times"/>
          <w:color w:val="000000"/>
        </w:rPr>
        <w:t>.</w:t>
      </w:r>
    </w:p>
    <w:p w:rsidR="00190F80" w:rsidRPr="003F22E4" w:rsidRDefault="00B16DDC" w:rsidP="00B16DDC">
      <w:pPr>
        <w:pStyle w:val="EndnoteText"/>
        <w:spacing w:after="0"/>
        <w:ind w:left="720" w:hanging="720"/>
        <w:rPr>
          <w:rFonts w:ascii="Times" w:hAnsi="Times"/>
          <w:i/>
          <w:szCs w:val="24"/>
        </w:rPr>
      </w:pPr>
      <w:r w:rsidRPr="003F22E4">
        <w:rPr>
          <w:rFonts w:ascii="Times" w:hAnsi="Times"/>
          <w:szCs w:val="24"/>
        </w:rPr>
        <w:t xml:space="preserve">2. </w:t>
      </w:r>
      <w:r w:rsidR="0065754A">
        <w:rPr>
          <w:rFonts w:ascii="Times" w:hAnsi="Times"/>
          <w:szCs w:val="24"/>
        </w:rPr>
        <w:t xml:space="preserve"> </w:t>
      </w:r>
      <w:r w:rsidRPr="003F22E4">
        <w:rPr>
          <w:rFonts w:ascii="Times" w:hAnsi="Times"/>
          <w:szCs w:val="24"/>
        </w:rPr>
        <w:t xml:space="preserve"> </w:t>
      </w:r>
      <w:r w:rsidR="0065754A">
        <w:rPr>
          <w:rFonts w:ascii="Times" w:hAnsi="Times"/>
          <w:szCs w:val="24"/>
        </w:rPr>
        <w:t xml:space="preserve"> </w:t>
      </w:r>
      <w:r w:rsidR="00190F80" w:rsidRPr="003F22E4">
        <w:rPr>
          <w:rFonts w:ascii="Times" w:hAnsi="Times"/>
          <w:szCs w:val="24"/>
        </w:rPr>
        <w:t>Census Bureau (2009). Retrieved from:  http://www.census.gov/.</w:t>
      </w:r>
    </w:p>
    <w:p w:rsidR="00190F80" w:rsidRPr="003F22E4" w:rsidRDefault="00190F80" w:rsidP="0065754A">
      <w:pPr>
        <w:pStyle w:val="EndnoteText"/>
        <w:spacing w:after="0"/>
        <w:ind w:left="360" w:hanging="360"/>
        <w:rPr>
          <w:rFonts w:ascii="Times" w:hAnsi="Times"/>
          <w:szCs w:val="24"/>
        </w:rPr>
      </w:pPr>
      <w:r w:rsidRPr="003F22E4">
        <w:rPr>
          <w:rFonts w:ascii="Times" w:hAnsi="Times"/>
          <w:szCs w:val="24"/>
        </w:rPr>
        <w:t xml:space="preserve">3.  </w:t>
      </w:r>
      <w:r w:rsidR="0065754A">
        <w:rPr>
          <w:rFonts w:ascii="Times" w:hAnsi="Times"/>
          <w:szCs w:val="24"/>
        </w:rPr>
        <w:t xml:space="preserve">  </w:t>
      </w:r>
      <w:r w:rsidRPr="003F22E4">
        <w:rPr>
          <w:rFonts w:ascii="Times" w:hAnsi="Times"/>
          <w:szCs w:val="24"/>
        </w:rPr>
        <w:t xml:space="preserve">Energy Information Administration. (2009). </w:t>
      </w:r>
      <w:r w:rsidRPr="003F22E4">
        <w:rPr>
          <w:rFonts w:ascii="Times" w:hAnsi="Times"/>
          <w:i/>
          <w:szCs w:val="24"/>
        </w:rPr>
        <w:t>State Energy Data System</w:t>
      </w:r>
      <w:r w:rsidRPr="003F22E4">
        <w:rPr>
          <w:rFonts w:ascii="Times" w:hAnsi="Times"/>
          <w:szCs w:val="24"/>
        </w:rPr>
        <w:t>. Retrieved from: http://www.eia.doe.gov/emeu/states/_seds.html.</w:t>
      </w:r>
    </w:p>
    <w:p w:rsidR="00190F80" w:rsidRPr="003F22E4" w:rsidRDefault="00190F80" w:rsidP="00190F80">
      <w:pPr>
        <w:autoSpaceDE w:val="0"/>
        <w:autoSpaceDN w:val="0"/>
        <w:adjustRightInd w:val="0"/>
        <w:spacing w:after="0"/>
        <w:ind w:left="720" w:hanging="720"/>
        <w:rPr>
          <w:rFonts w:ascii="Times" w:hAnsi="Times"/>
          <w:sz w:val="20"/>
          <w:szCs w:val="24"/>
        </w:rPr>
      </w:pPr>
      <w:r w:rsidRPr="003F22E4">
        <w:rPr>
          <w:rFonts w:ascii="Times" w:hAnsi="Times"/>
          <w:sz w:val="20"/>
          <w:szCs w:val="24"/>
        </w:rPr>
        <w:t xml:space="preserve">4.  </w:t>
      </w:r>
      <w:r w:rsidR="0065754A">
        <w:rPr>
          <w:rFonts w:ascii="Times" w:hAnsi="Times"/>
          <w:sz w:val="20"/>
          <w:szCs w:val="24"/>
        </w:rPr>
        <w:t xml:space="preserve">  </w:t>
      </w:r>
      <w:r w:rsidRPr="003F22E4">
        <w:rPr>
          <w:rFonts w:ascii="Times" w:hAnsi="Times"/>
          <w:sz w:val="20"/>
          <w:szCs w:val="24"/>
        </w:rPr>
        <w:t xml:space="preserve">Southern States Energy Board. (2009). </w:t>
      </w:r>
      <w:r w:rsidRPr="003F22E4">
        <w:rPr>
          <w:rFonts w:ascii="Times" w:hAnsi="Times"/>
          <w:i/>
          <w:sz w:val="20"/>
          <w:szCs w:val="24"/>
        </w:rPr>
        <w:t>Digest of Climate Change and Energy Initiatives in the South</w:t>
      </w:r>
      <w:r w:rsidRPr="003F22E4">
        <w:rPr>
          <w:rFonts w:ascii="Times" w:hAnsi="Times"/>
          <w:sz w:val="20"/>
          <w:szCs w:val="24"/>
        </w:rPr>
        <w:t xml:space="preserve">. </w:t>
      </w:r>
    </w:p>
    <w:p w:rsidR="00190F80" w:rsidRPr="003F22E4" w:rsidRDefault="00190F80" w:rsidP="00190F80">
      <w:pPr>
        <w:pStyle w:val="EndnoteText"/>
        <w:spacing w:after="0"/>
        <w:ind w:left="720" w:hanging="720"/>
        <w:rPr>
          <w:rFonts w:ascii="Times" w:hAnsi="Times"/>
          <w:szCs w:val="24"/>
        </w:rPr>
      </w:pPr>
      <w:r w:rsidRPr="003F22E4">
        <w:rPr>
          <w:rFonts w:ascii="Times" w:hAnsi="Times"/>
          <w:szCs w:val="24"/>
        </w:rPr>
        <w:t xml:space="preserve">5.  </w:t>
      </w:r>
      <w:r w:rsidR="0065754A">
        <w:rPr>
          <w:rFonts w:ascii="Times" w:hAnsi="Times"/>
          <w:szCs w:val="24"/>
        </w:rPr>
        <w:t xml:space="preserve">  </w:t>
      </w:r>
      <w:r w:rsidRPr="003F22E4">
        <w:rPr>
          <w:rFonts w:ascii="Times" w:hAnsi="Times"/>
          <w:szCs w:val="24"/>
        </w:rPr>
        <w:t xml:space="preserve">National Association of State Energy Officials (2009). </w:t>
      </w:r>
      <w:r w:rsidRPr="003F22E4">
        <w:rPr>
          <w:rFonts w:ascii="Times" w:hAnsi="Times"/>
          <w:i/>
          <w:szCs w:val="24"/>
        </w:rPr>
        <w:t>State Energy Program and Activity Update</w:t>
      </w:r>
      <w:r w:rsidRPr="003F22E4">
        <w:rPr>
          <w:rFonts w:ascii="Times" w:hAnsi="Times"/>
          <w:szCs w:val="24"/>
        </w:rPr>
        <w:t>.</w:t>
      </w:r>
    </w:p>
    <w:p w:rsidR="00190F80" w:rsidRPr="003F22E4" w:rsidRDefault="00B16DDC" w:rsidP="0065754A">
      <w:pPr>
        <w:pStyle w:val="EndnoteText"/>
        <w:spacing w:after="0"/>
        <w:ind w:left="360" w:hanging="360"/>
        <w:rPr>
          <w:rFonts w:ascii="Times" w:hAnsi="Times"/>
          <w:szCs w:val="24"/>
        </w:rPr>
      </w:pPr>
      <w:r w:rsidRPr="003F22E4">
        <w:rPr>
          <w:rFonts w:ascii="Times" w:hAnsi="Times"/>
          <w:szCs w:val="24"/>
        </w:rPr>
        <w:t xml:space="preserve">6.  </w:t>
      </w:r>
      <w:r w:rsidR="0065754A">
        <w:rPr>
          <w:rFonts w:ascii="Times" w:hAnsi="Times"/>
          <w:szCs w:val="24"/>
        </w:rPr>
        <w:t xml:space="preserve">  </w:t>
      </w:r>
      <w:r w:rsidR="00190F80" w:rsidRPr="003F22E4">
        <w:rPr>
          <w:rFonts w:ascii="Times" w:hAnsi="Times"/>
          <w:szCs w:val="24"/>
        </w:rPr>
        <w:t>American Council for an Energy-Efficien</w:t>
      </w:r>
      <w:r w:rsidR="005F2658">
        <w:rPr>
          <w:rFonts w:ascii="Times" w:hAnsi="Times"/>
          <w:szCs w:val="24"/>
        </w:rPr>
        <w:t>t</w:t>
      </w:r>
      <w:r w:rsidR="00190F80" w:rsidRPr="003F22E4">
        <w:rPr>
          <w:rFonts w:ascii="Times" w:hAnsi="Times"/>
          <w:szCs w:val="24"/>
        </w:rPr>
        <w:t xml:space="preserve"> Economy. (2009). </w:t>
      </w:r>
      <w:r w:rsidR="00190F80" w:rsidRPr="003F22E4">
        <w:rPr>
          <w:rFonts w:ascii="Times" w:hAnsi="Times"/>
          <w:i/>
          <w:szCs w:val="24"/>
        </w:rPr>
        <w:t>The 2009 State Energy Efficiency Scorecard</w:t>
      </w:r>
      <w:r w:rsidR="00190F80" w:rsidRPr="003F22E4">
        <w:rPr>
          <w:rFonts w:ascii="Times" w:hAnsi="Times"/>
          <w:szCs w:val="24"/>
        </w:rPr>
        <w:t>. Retrieved from http://aceee.org.</w:t>
      </w:r>
    </w:p>
    <w:p w:rsidR="00190F80" w:rsidRPr="003F22E4" w:rsidRDefault="00190F80" w:rsidP="0065754A">
      <w:pPr>
        <w:pStyle w:val="EndnoteText"/>
        <w:spacing w:after="0"/>
        <w:ind w:left="360" w:hanging="360"/>
        <w:rPr>
          <w:rFonts w:ascii="Times" w:hAnsi="Times"/>
          <w:szCs w:val="24"/>
        </w:rPr>
      </w:pPr>
      <w:r w:rsidRPr="003F22E4">
        <w:rPr>
          <w:rFonts w:ascii="Times" w:hAnsi="Times"/>
          <w:szCs w:val="24"/>
        </w:rPr>
        <w:t xml:space="preserve">7.  </w:t>
      </w:r>
      <w:r w:rsidR="0065754A">
        <w:rPr>
          <w:rFonts w:ascii="Times" w:hAnsi="Times"/>
          <w:szCs w:val="24"/>
        </w:rPr>
        <w:t xml:space="preserve">  </w:t>
      </w:r>
      <w:r w:rsidRPr="003F22E4">
        <w:rPr>
          <w:rFonts w:ascii="Times" w:hAnsi="Times"/>
          <w:szCs w:val="24"/>
        </w:rPr>
        <w:t xml:space="preserve">Chandler, J. and M.A. Brown. (2009). </w:t>
      </w:r>
      <w:r w:rsidRPr="003F22E4">
        <w:rPr>
          <w:rFonts w:ascii="Times" w:hAnsi="Times"/>
          <w:i/>
          <w:szCs w:val="24"/>
        </w:rPr>
        <w:t>Meta-Review of Efficiency Potential Studies and Their Implications for the South.</w:t>
      </w:r>
      <w:r w:rsidRPr="003F22E4">
        <w:rPr>
          <w:rFonts w:ascii="Times" w:hAnsi="Times"/>
          <w:szCs w:val="24"/>
        </w:rPr>
        <w:t xml:space="preserve"> Retrieved from the Georgia Institute of Technology School of Public Policy website at: www.spp.gatech.edu/faculty/workingpapers/wp51.pdf.</w:t>
      </w:r>
    </w:p>
    <w:p w:rsidR="00C52762" w:rsidRPr="005F2658" w:rsidRDefault="00C52762" w:rsidP="0065754A">
      <w:pPr>
        <w:pStyle w:val="EndnoteText"/>
        <w:spacing w:after="0"/>
        <w:ind w:left="360" w:hanging="360"/>
        <w:rPr>
          <w:rFonts w:ascii="Times" w:hAnsi="Times"/>
          <w:i/>
          <w:szCs w:val="24"/>
        </w:rPr>
      </w:pPr>
      <w:r>
        <w:rPr>
          <w:rFonts w:ascii="Times" w:hAnsi="Times"/>
          <w:szCs w:val="24"/>
        </w:rPr>
        <w:t xml:space="preserve">8.  </w:t>
      </w:r>
      <w:r w:rsidR="0065754A">
        <w:rPr>
          <w:rFonts w:ascii="Times" w:hAnsi="Times"/>
          <w:szCs w:val="24"/>
        </w:rPr>
        <w:t xml:space="preserve">  </w:t>
      </w:r>
      <w:r w:rsidRPr="003F22E4">
        <w:rPr>
          <w:rFonts w:ascii="Times" w:hAnsi="Times"/>
          <w:szCs w:val="24"/>
        </w:rPr>
        <w:t>American Council for an Energy-Efficien</w:t>
      </w:r>
      <w:r>
        <w:rPr>
          <w:rFonts w:ascii="Times" w:hAnsi="Times"/>
          <w:szCs w:val="24"/>
        </w:rPr>
        <w:t>t</w:t>
      </w:r>
      <w:r w:rsidRPr="003F22E4">
        <w:rPr>
          <w:rFonts w:ascii="Times" w:hAnsi="Times"/>
          <w:szCs w:val="24"/>
        </w:rPr>
        <w:t xml:space="preserve"> Economy</w:t>
      </w:r>
      <w:r>
        <w:rPr>
          <w:rFonts w:ascii="Times" w:hAnsi="Times"/>
          <w:szCs w:val="24"/>
        </w:rPr>
        <w:t xml:space="preserve">. (2010). </w:t>
      </w:r>
      <w:r w:rsidRPr="005F2658">
        <w:rPr>
          <w:rFonts w:ascii="Times" w:hAnsi="Times"/>
          <w:i/>
          <w:szCs w:val="24"/>
        </w:rPr>
        <w:t xml:space="preserve">South Carolina’s Energy Future: Minding its Efficiency Resources. </w:t>
      </w:r>
    </w:p>
    <w:p w:rsidR="00E262AB" w:rsidRPr="005F2658" w:rsidRDefault="00C52762" w:rsidP="006575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/>
          <w:sz w:val="20"/>
          <w:szCs w:val="24"/>
        </w:rPr>
      </w:pPr>
      <w:r w:rsidRPr="00C52762">
        <w:rPr>
          <w:rFonts w:ascii="Times" w:hAnsi="Times"/>
          <w:sz w:val="20"/>
          <w:szCs w:val="24"/>
        </w:rPr>
        <w:t>9</w:t>
      </w:r>
      <w:r w:rsidR="00B16DDC" w:rsidRPr="00C52762">
        <w:rPr>
          <w:rFonts w:ascii="Times" w:hAnsi="Times"/>
          <w:sz w:val="20"/>
          <w:szCs w:val="24"/>
        </w:rPr>
        <w:t xml:space="preserve">.  </w:t>
      </w:r>
      <w:r w:rsidR="0065754A">
        <w:rPr>
          <w:rFonts w:ascii="Times" w:hAnsi="Times"/>
          <w:sz w:val="20"/>
          <w:szCs w:val="24"/>
        </w:rPr>
        <w:t xml:space="preserve">  </w:t>
      </w:r>
      <w:r w:rsidR="00190F80" w:rsidRPr="005F2658">
        <w:rPr>
          <w:rFonts w:ascii="Times" w:hAnsi="Times"/>
          <w:sz w:val="20"/>
          <w:szCs w:val="24"/>
        </w:rPr>
        <w:t>A power plant is approximated as a 500 MW power plant as defined by Koome</w:t>
      </w:r>
      <w:r w:rsidR="00E262AB" w:rsidRPr="005F2658">
        <w:rPr>
          <w:rFonts w:ascii="Times" w:hAnsi="Times"/>
          <w:sz w:val="20"/>
          <w:szCs w:val="24"/>
        </w:rPr>
        <w:t>y, J. et al. (2010). Defining a Standard Metric for Electricity S</w:t>
      </w:r>
      <w:r w:rsidR="00190F80" w:rsidRPr="005F2658">
        <w:rPr>
          <w:rFonts w:ascii="Times" w:hAnsi="Times"/>
          <w:sz w:val="20"/>
          <w:szCs w:val="24"/>
        </w:rPr>
        <w:t>avings. Environ. Res. Lett</w:t>
      </w:r>
      <w:r w:rsidR="00E262AB" w:rsidRPr="005F2658">
        <w:rPr>
          <w:rFonts w:ascii="Times" w:hAnsi="Times"/>
          <w:sz w:val="20"/>
          <w:szCs w:val="24"/>
        </w:rPr>
        <w:t xml:space="preserve">. 5 014017  Retrieved at </w:t>
      </w:r>
    </w:p>
    <w:p w:rsidR="00190F80" w:rsidRDefault="00A728AA" w:rsidP="0065754A">
      <w:pPr>
        <w:pStyle w:val="EndnoteText"/>
        <w:spacing w:after="0"/>
        <w:ind w:left="360"/>
        <w:rPr>
          <w:rFonts w:ascii="Times" w:hAnsi="Times"/>
          <w:szCs w:val="24"/>
        </w:rPr>
      </w:pPr>
      <w:hyperlink r:id="rId23" w:history="1">
        <w:r w:rsidR="00E262AB" w:rsidRPr="005F2658">
          <w:rPr>
            <w:rFonts w:ascii="Times" w:hAnsi="Times"/>
            <w:szCs w:val="24"/>
          </w:rPr>
          <w:t>http://iopscience.iop.org/1748-9326/5/1/014017</w:t>
        </w:r>
      </w:hyperlink>
      <w:r w:rsidR="00E262AB" w:rsidRPr="005F2658">
        <w:rPr>
          <w:rFonts w:ascii="Times" w:hAnsi="Times"/>
          <w:szCs w:val="24"/>
        </w:rPr>
        <w:t>.</w:t>
      </w:r>
    </w:p>
    <w:p w:rsidR="00190F80" w:rsidRPr="003F22E4" w:rsidRDefault="00C52762" w:rsidP="0065754A">
      <w:pPr>
        <w:pStyle w:val="EndnoteText"/>
        <w:spacing w:after="0"/>
        <w:ind w:left="360" w:hanging="3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10</w:t>
      </w:r>
      <w:r w:rsidR="00190F80" w:rsidRPr="003F22E4">
        <w:rPr>
          <w:rFonts w:ascii="Times" w:hAnsi="Times"/>
          <w:szCs w:val="24"/>
        </w:rPr>
        <w:t xml:space="preserve">.  The Wal-Mart equivalencies are calculated using information from Courtemanch, A. and L. Bensheimer. (2005). Environmental Impacts of the Proposed Wal-Mart Supercenter in Potsdam. </w:t>
      </w:r>
      <w:r w:rsidR="00190F80" w:rsidRPr="003F22E4">
        <w:rPr>
          <w:rFonts w:ascii="Times" w:hAnsi="Times"/>
          <w:i/>
          <w:szCs w:val="24"/>
        </w:rPr>
        <w:t>Conservation Biology</w:t>
      </w:r>
      <w:r w:rsidR="00190F80" w:rsidRPr="003F22E4">
        <w:rPr>
          <w:rFonts w:ascii="Times" w:hAnsi="Times"/>
          <w:szCs w:val="24"/>
        </w:rPr>
        <w:t>.</w:t>
      </w:r>
    </w:p>
    <w:p w:rsidR="00190F80" w:rsidRPr="003F22E4" w:rsidRDefault="00190F80" w:rsidP="0065754A">
      <w:pPr>
        <w:spacing w:after="0"/>
        <w:ind w:left="360" w:hanging="360"/>
        <w:rPr>
          <w:rFonts w:ascii="Times" w:hAnsi="Times"/>
          <w:sz w:val="20"/>
          <w:szCs w:val="24"/>
        </w:rPr>
      </w:pPr>
      <w:r w:rsidRPr="003F22E4">
        <w:rPr>
          <w:rFonts w:ascii="Times" w:hAnsi="Times"/>
          <w:sz w:val="20"/>
          <w:szCs w:val="24"/>
        </w:rPr>
        <w:t>1</w:t>
      </w:r>
      <w:r w:rsidR="00C52762">
        <w:rPr>
          <w:rFonts w:ascii="Times" w:hAnsi="Times"/>
          <w:sz w:val="20"/>
          <w:szCs w:val="24"/>
        </w:rPr>
        <w:t>1</w:t>
      </w:r>
      <w:r w:rsidRPr="003F22E4">
        <w:rPr>
          <w:rFonts w:ascii="Times" w:hAnsi="Times"/>
          <w:sz w:val="20"/>
          <w:szCs w:val="24"/>
        </w:rPr>
        <w:t xml:space="preserve">.  Energy Star. (2009). </w:t>
      </w:r>
      <w:r w:rsidRPr="003F22E4">
        <w:rPr>
          <w:rFonts w:ascii="Times" w:hAnsi="Times"/>
          <w:i/>
          <w:sz w:val="20"/>
          <w:szCs w:val="24"/>
        </w:rPr>
        <w:t>Save Money and More with ENERGY STAR Qualified Heat Pump Water Heaters</w:t>
      </w:r>
      <w:r w:rsidRPr="003F22E4">
        <w:rPr>
          <w:rFonts w:ascii="Times" w:hAnsi="Times"/>
          <w:sz w:val="20"/>
          <w:szCs w:val="24"/>
        </w:rPr>
        <w:t>. Retrieved from: http://www.energystar.gov/index.cfm?c=heat_ pump.pr_savings_benefits.</w:t>
      </w:r>
    </w:p>
    <w:p w:rsidR="00190F80" w:rsidRPr="003F22E4" w:rsidRDefault="00190F80" w:rsidP="0065754A">
      <w:pPr>
        <w:pStyle w:val="Heading1"/>
        <w:spacing w:before="0" w:beforeAutospacing="0" w:after="0" w:afterAutospacing="0"/>
        <w:ind w:left="360" w:hanging="360"/>
        <w:rPr>
          <w:rFonts w:ascii="Times" w:hAnsi="Times"/>
          <w:b w:val="0"/>
          <w:sz w:val="20"/>
          <w:szCs w:val="24"/>
        </w:rPr>
      </w:pPr>
      <w:r w:rsidRPr="003F22E4">
        <w:rPr>
          <w:rFonts w:ascii="Times" w:hAnsi="Times"/>
          <w:b w:val="0"/>
          <w:sz w:val="20"/>
          <w:szCs w:val="24"/>
        </w:rPr>
        <w:t>1</w:t>
      </w:r>
      <w:r w:rsidR="00C52762">
        <w:rPr>
          <w:rFonts w:ascii="Times" w:hAnsi="Times"/>
          <w:b w:val="0"/>
          <w:sz w:val="20"/>
          <w:szCs w:val="24"/>
        </w:rPr>
        <w:t>2</w:t>
      </w:r>
      <w:r w:rsidRPr="003F22E4">
        <w:rPr>
          <w:rFonts w:ascii="Times" w:hAnsi="Times"/>
          <w:b w:val="0"/>
          <w:sz w:val="20"/>
          <w:szCs w:val="24"/>
        </w:rPr>
        <w:t xml:space="preserve">.  Energy Efficiency and Renewable Energy. (2008). </w:t>
      </w:r>
      <w:r w:rsidRPr="003F22E4">
        <w:rPr>
          <w:rFonts w:ascii="Times" w:eastAsia="SimSun" w:hAnsi="Times"/>
          <w:b w:val="0"/>
          <w:bCs w:val="0"/>
          <w:i/>
          <w:kern w:val="0"/>
          <w:sz w:val="20"/>
          <w:szCs w:val="24"/>
        </w:rPr>
        <w:t>Benefits of Geothermal Heat Pump System</w:t>
      </w:r>
      <w:r w:rsidRPr="003F22E4">
        <w:rPr>
          <w:rFonts w:ascii="Times" w:eastAsia="SimSun" w:hAnsi="Times"/>
          <w:b w:val="0"/>
          <w:bCs w:val="0"/>
          <w:kern w:val="0"/>
          <w:sz w:val="20"/>
          <w:szCs w:val="24"/>
        </w:rPr>
        <w:t xml:space="preserve">s. Retrieved from: </w:t>
      </w:r>
      <w:r w:rsidRPr="003F22E4">
        <w:rPr>
          <w:rFonts w:ascii="Times" w:hAnsi="Times"/>
          <w:b w:val="0"/>
          <w:sz w:val="20"/>
          <w:szCs w:val="24"/>
        </w:rPr>
        <w:t>http://www.energysavers.gov/your_home/space_heating_cooling/index.cfm/ mytopic=12660.</w:t>
      </w:r>
    </w:p>
    <w:p w:rsidR="00190F80" w:rsidRDefault="00190F80" w:rsidP="0065754A">
      <w:pPr>
        <w:pStyle w:val="Heading1"/>
        <w:spacing w:before="0" w:beforeAutospacing="0" w:after="0" w:afterAutospacing="0"/>
        <w:ind w:left="360" w:hanging="360"/>
        <w:rPr>
          <w:rFonts w:ascii="Times" w:hAnsi="Times"/>
          <w:b w:val="0"/>
          <w:sz w:val="20"/>
          <w:szCs w:val="24"/>
        </w:rPr>
      </w:pPr>
      <w:r w:rsidRPr="003F22E4">
        <w:rPr>
          <w:rFonts w:ascii="Times" w:hAnsi="Times"/>
          <w:b w:val="0"/>
          <w:sz w:val="20"/>
          <w:szCs w:val="24"/>
        </w:rPr>
        <w:t>1</w:t>
      </w:r>
      <w:r w:rsidR="00C52762">
        <w:rPr>
          <w:rFonts w:ascii="Times" w:hAnsi="Times"/>
          <w:b w:val="0"/>
          <w:sz w:val="20"/>
          <w:szCs w:val="24"/>
        </w:rPr>
        <w:t>3</w:t>
      </w:r>
      <w:r w:rsidRPr="003F22E4">
        <w:rPr>
          <w:rFonts w:ascii="Times" w:hAnsi="Times"/>
          <w:b w:val="0"/>
          <w:sz w:val="20"/>
          <w:szCs w:val="24"/>
        </w:rPr>
        <w:t xml:space="preserve">. </w:t>
      </w:r>
      <w:r w:rsidRPr="003F22E4">
        <w:rPr>
          <w:rFonts w:ascii="Times" w:hAnsi="Times"/>
          <w:b w:val="0"/>
          <w:sz w:val="44"/>
          <w:szCs w:val="24"/>
        </w:rPr>
        <w:t xml:space="preserve"> </w:t>
      </w:r>
      <w:r w:rsidRPr="003F22E4">
        <w:rPr>
          <w:rFonts w:ascii="Times" w:eastAsia="SimSun" w:hAnsi="Times"/>
          <w:b w:val="0"/>
          <w:bCs w:val="0"/>
          <w:kern w:val="0"/>
          <w:sz w:val="20"/>
          <w:szCs w:val="24"/>
        </w:rPr>
        <w:t xml:space="preserve">Energy Efficiency and Renewable Energy, Industrial Technologies Program. (2008). </w:t>
      </w:r>
      <w:r w:rsidRPr="003F22E4">
        <w:rPr>
          <w:rFonts w:ascii="Times" w:eastAsia="SimSun" w:hAnsi="Times"/>
          <w:b w:val="0"/>
          <w:bCs w:val="0"/>
          <w:i/>
          <w:kern w:val="0"/>
          <w:sz w:val="20"/>
          <w:szCs w:val="24"/>
        </w:rPr>
        <w:t>Super Boiler: A Super Hero of Steam Generation</w:t>
      </w:r>
      <w:r w:rsidRPr="003F22E4">
        <w:rPr>
          <w:rFonts w:ascii="Times" w:eastAsia="SimSun" w:hAnsi="Times"/>
          <w:b w:val="0"/>
          <w:bCs w:val="0"/>
          <w:kern w:val="0"/>
          <w:sz w:val="20"/>
          <w:szCs w:val="24"/>
        </w:rPr>
        <w:t xml:space="preserve">. </w:t>
      </w:r>
      <w:r w:rsidRPr="003F22E4">
        <w:rPr>
          <w:rFonts w:ascii="Times" w:hAnsi="Times"/>
          <w:b w:val="0"/>
          <w:sz w:val="20"/>
          <w:szCs w:val="24"/>
        </w:rPr>
        <w:t>http://www1.eere.energy.gov/industry/bestpractices/ energymatters/archives/winter2008.html#a265.</w:t>
      </w:r>
    </w:p>
    <w:p w:rsidR="005F2658" w:rsidRPr="0058538C" w:rsidRDefault="005F2658" w:rsidP="005F2658">
      <w:pPr>
        <w:pStyle w:val="Heading1"/>
        <w:spacing w:before="0" w:beforeAutospacing="0" w:after="0" w:afterAutospacing="0"/>
        <w:ind w:left="360" w:hanging="360"/>
        <w:rPr>
          <w:rFonts w:ascii="Times" w:hAnsi="Times"/>
          <w:b w:val="0"/>
          <w:sz w:val="20"/>
          <w:szCs w:val="24"/>
        </w:rPr>
      </w:pPr>
      <w:r w:rsidRPr="0058538C">
        <w:rPr>
          <w:rFonts w:ascii="Times" w:hAnsi="Times"/>
          <w:b w:val="0"/>
          <w:sz w:val="20"/>
          <w:szCs w:val="24"/>
        </w:rPr>
        <w:t>1</w:t>
      </w:r>
      <w:r w:rsidR="00C52762">
        <w:rPr>
          <w:rFonts w:ascii="Times" w:hAnsi="Times"/>
          <w:b w:val="0"/>
          <w:sz w:val="20"/>
          <w:szCs w:val="24"/>
        </w:rPr>
        <w:t>4</w:t>
      </w:r>
      <w:r w:rsidRPr="0058538C">
        <w:rPr>
          <w:rFonts w:ascii="Times" w:hAnsi="Times"/>
          <w:b w:val="0"/>
          <w:sz w:val="20"/>
          <w:szCs w:val="24"/>
        </w:rPr>
        <w:t xml:space="preserve">. </w:t>
      </w:r>
      <w:r>
        <w:rPr>
          <w:rFonts w:ascii="Times" w:hAnsi="Times"/>
          <w:b w:val="0"/>
          <w:sz w:val="20"/>
          <w:szCs w:val="24"/>
        </w:rPr>
        <w:t xml:space="preserve"> </w:t>
      </w:r>
      <w:r w:rsidRPr="0058538C">
        <w:rPr>
          <w:rFonts w:ascii="Times" w:hAnsi="Times"/>
          <w:b w:val="0"/>
          <w:sz w:val="20"/>
          <w:szCs w:val="24"/>
        </w:rPr>
        <w:t>Energy Information Administration. (2009). State Energy Data System. Retrieved from: http://www.eia.doe.gov/</w:t>
      </w:r>
      <w:r>
        <w:rPr>
          <w:rFonts w:ascii="Times" w:hAnsi="Times"/>
          <w:b w:val="0"/>
          <w:sz w:val="20"/>
          <w:szCs w:val="24"/>
        </w:rPr>
        <w:t xml:space="preserve"> </w:t>
      </w:r>
      <w:r w:rsidRPr="0058538C">
        <w:rPr>
          <w:rFonts w:ascii="Times" w:hAnsi="Times"/>
          <w:b w:val="0"/>
          <w:sz w:val="20"/>
          <w:szCs w:val="24"/>
        </w:rPr>
        <w:t>emeu/states/_seds.html.</w:t>
      </w:r>
    </w:p>
    <w:p w:rsidR="005F2658" w:rsidRPr="0058538C" w:rsidRDefault="005F2658" w:rsidP="005F2658">
      <w:pPr>
        <w:pStyle w:val="Heading1"/>
        <w:spacing w:before="0" w:beforeAutospacing="0" w:after="0" w:afterAutospacing="0"/>
        <w:ind w:left="360" w:hanging="360"/>
        <w:rPr>
          <w:rFonts w:ascii="Times" w:hAnsi="Times"/>
          <w:b w:val="0"/>
          <w:sz w:val="20"/>
          <w:szCs w:val="24"/>
        </w:rPr>
      </w:pPr>
      <w:r w:rsidRPr="0058538C">
        <w:rPr>
          <w:rFonts w:ascii="Times" w:hAnsi="Times"/>
          <w:b w:val="0"/>
          <w:sz w:val="20"/>
          <w:szCs w:val="24"/>
        </w:rPr>
        <w:t>1</w:t>
      </w:r>
      <w:r w:rsidR="00C52762">
        <w:rPr>
          <w:rFonts w:ascii="Times" w:hAnsi="Times"/>
          <w:b w:val="0"/>
          <w:sz w:val="20"/>
          <w:szCs w:val="24"/>
        </w:rPr>
        <w:t>5</w:t>
      </w:r>
      <w:r w:rsidRPr="0058538C">
        <w:rPr>
          <w:rFonts w:ascii="Times" w:hAnsi="Times"/>
          <w:b w:val="0"/>
          <w:sz w:val="20"/>
          <w:szCs w:val="24"/>
        </w:rPr>
        <w:t xml:space="preserve">. </w:t>
      </w:r>
      <w:r>
        <w:rPr>
          <w:rFonts w:ascii="Times" w:hAnsi="Times"/>
          <w:b w:val="0"/>
          <w:sz w:val="20"/>
          <w:szCs w:val="24"/>
        </w:rPr>
        <w:t xml:space="preserve"> </w:t>
      </w:r>
      <w:r w:rsidRPr="0058538C">
        <w:rPr>
          <w:rFonts w:ascii="Times" w:hAnsi="Times"/>
          <w:b w:val="0"/>
          <w:sz w:val="20"/>
          <w:szCs w:val="24"/>
        </w:rPr>
        <w:t>Bureau of Labor Statistics.  (2010) Civilian labor force and unemployment by state and selected area, seasonally adjusted (Last modified: January 22, 2010, Accessed: March 9, 2010). http://www.bls.gov/news.release/laus.</w:t>
      </w:r>
      <w:r>
        <w:rPr>
          <w:rFonts w:ascii="Times" w:hAnsi="Times"/>
          <w:b w:val="0"/>
          <w:sz w:val="20"/>
          <w:szCs w:val="24"/>
        </w:rPr>
        <w:t xml:space="preserve"> </w:t>
      </w:r>
      <w:r w:rsidRPr="0058538C">
        <w:rPr>
          <w:rFonts w:ascii="Times" w:hAnsi="Times"/>
          <w:b w:val="0"/>
          <w:sz w:val="20"/>
          <w:szCs w:val="24"/>
        </w:rPr>
        <w:t xml:space="preserve">t03.htm  </w:t>
      </w:r>
    </w:p>
    <w:p w:rsidR="005F2658" w:rsidRPr="00C97F56" w:rsidRDefault="005F2658" w:rsidP="005F2658">
      <w:pPr>
        <w:pStyle w:val="Heading1"/>
        <w:spacing w:before="0" w:beforeAutospacing="0" w:after="0" w:afterAutospacing="0"/>
        <w:ind w:left="360" w:hanging="360"/>
        <w:rPr>
          <w:rFonts w:ascii="Times" w:hAnsi="Times"/>
          <w:sz w:val="24"/>
          <w:szCs w:val="24"/>
        </w:rPr>
      </w:pPr>
      <w:r w:rsidRPr="0058538C">
        <w:rPr>
          <w:rFonts w:ascii="Times" w:hAnsi="Times"/>
          <w:b w:val="0"/>
          <w:sz w:val="20"/>
          <w:szCs w:val="24"/>
        </w:rPr>
        <w:t>1</w:t>
      </w:r>
      <w:r w:rsidR="00C52762">
        <w:rPr>
          <w:rFonts w:ascii="Times" w:hAnsi="Times"/>
          <w:b w:val="0"/>
          <w:sz w:val="20"/>
          <w:szCs w:val="24"/>
        </w:rPr>
        <w:t>6</w:t>
      </w:r>
      <w:r w:rsidRPr="0058538C">
        <w:rPr>
          <w:rFonts w:ascii="Times" w:hAnsi="Times"/>
          <w:b w:val="0"/>
          <w:sz w:val="20"/>
          <w:szCs w:val="24"/>
        </w:rPr>
        <w:t xml:space="preserve">. </w:t>
      </w:r>
      <w:r>
        <w:rPr>
          <w:rFonts w:ascii="Times" w:hAnsi="Times"/>
          <w:b w:val="0"/>
          <w:sz w:val="20"/>
          <w:szCs w:val="24"/>
        </w:rPr>
        <w:t xml:space="preserve">  </w:t>
      </w:r>
      <w:r w:rsidRPr="0058538C">
        <w:rPr>
          <w:rFonts w:ascii="Times" w:hAnsi="Times"/>
          <w:b w:val="0"/>
          <w:sz w:val="20"/>
          <w:szCs w:val="24"/>
        </w:rPr>
        <w:t>2007 GSP in 2007$: Bureau of Economic Analysis</w:t>
      </w:r>
      <w:r>
        <w:rPr>
          <w:rFonts w:ascii="Times" w:hAnsi="Times"/>
          <w:b w:val="0"/>
          <w:sz w:val="20"/>
          <w:szCs w:val="24"/>
        </w:rPr>
        <w:t xml:space="preserve">.  (2008). </w:t>
      </w:r>
      <w:r w:rsidRPr="0058538C">
        <w:rPr>
          <w:rFonts w:ascii="Times" w:hAnsi="Times"/>
          <w:b w:val="0"/>
          <w:sz w:val="20"/>
          <w:szCs w:val="24"/>
        </w:rPr>
        <w:t xml:space="preserve">GDP by State. </w:t>
      </w:r>
      <w:r>
        <w:rPr>
          <w:rFonts w:ascii="Times" w:hAnsi="Times"/>
          <w:b w:val="0"/>
          <w:sz w:val="20"/>
          <w:szCs w:val="24"/>
        </w:rPr>
        <w:t>Retrieved from: h</w:t>
      </w:r>
      <w:r w:rsidRPr="0058538C">
        <w:rPr>
          <w:rFonts w:ascii="Times" w:hAnsi="Times"/>
          <w:b w:val="0"/>
          <w:sz w:val="20"/>
          <w:szCs w:val="24"/>
        </w:rPr>
        <w:t>ttp://www.bea.gov/</w:t>
      </w:r>
      <w:r>
        <w:rPr>
          <w:rFonts w:ascii="Times" w:hAnsi="Times"/>
          <w:b w:val="0"/>
          <w:sz w:val="20"/>
          <w:szCs w:val="24"/>
        </w:rPr>
        <w:t xml:space="preserve"> </w:t>
      </w:r>
      <w:r w:rsidRPr="0058538C">
        <w:rPr>
          <w:rFonts w:ascii="Times" w:hAnsi="Times"/>
          <w:b w:val="0"/>
          <w:sz w:val="20"/>
          <w:szCs w:val="24"/>
        </w:rPr>
        <w:t>newsreleases/regional/gdp_state/gsp_newsrelease.htm.</w:t>
      </w:r>
    </w:p>
    <w:p w:rsidR="005F2658" w:rsidRPr="003F22E4" w:rsidRDefault="005F2658" w:rsidP="00B16DDC">
      <w:pPr>
        <w:pStyle w:val="Heading1"/>
        <w:spacing w:before="0" w:beforeAutospacing="0"/>
        <w:rPr>
          <w:rFonts w:ascii="Times" w:hAnsi="Times"/>
          <w:b w:val="0"/>
          <w:sz w:val="20"/>
          <w:szCs w:val="24"/>
        </w:rPr>
      </w:pPr>
    </w:p>
    <w:p w:rsidR="009249FB" w:rsidRPr="003F22E4" w:rsidRDefault="009249FB" w:rsidP="00E003A9">
      <w:pPr>
        <w:rPr>
          <w:rFonts w:ascii="Times" w:hAnsi="Times"/>
          <w:b/>
          <w:sz w:val="24"/>
          <w:szCs w:val="24"/>
        </w:rPr>
      </w:pPr>
    </w:p>
    <w:sectPr w:rsidR="009249FB" w:rsidRPr="003F22E4" w:rsidSect="00CB09C8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12" w:rsidRDefault="003F7B12" w:rsidP="00DB06C7">
      <w:pPr>
        <w:spacing w:after="0" w:line="240" w:lineRule="auto"/>
      </w:pPr>
      <w:r>
        <w:separator/>
      </w:r>
    </w:p>
  </w:endnote>
  <w:endnote w:type="continuationSeparator" w:id="0">
    <w:p w:rsidR="003F7B12" w:rsidRDefault="003F7B12" w:rsidP="00DB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5" w:rsidRDefault="00A728AA" w:rsidP="00DB4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2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2E5" w:rsidRDefault="00DB42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5" w:rsidRPr="005F2658" w:rsidRDefault="00A728AA" w:rsidP="00DB42E5">
    <w:pPr>
      <w:pStyle w:val="Footer"/>
      <w:framePr w:wrap="around" w:vAnchor="text" w:hAnchor="margin" w:xAlign="center" w:y="1"/>
      <w:rPr>
        <w:rStyle w:val="PageNumber"/>
      </w:rPr>
    </w:pPr>
    <w:r w:rsidRPr="005F2658">
      <w:rPr>
        <w:rStyle w:val="PageNumber"/>
        <w:rFonts w:ascii="Times New Roman" w:hAnsi="Times New Roman"/>
        <w:sz w:val="24"/>
        <w:szCs w:val="24"/>
      </w:rPr>
      <w:fldChar w:fldCharType="begin"/>
    </w:r>
    <w:r w:rsidR="00DB42E5" w:rsidRPr="005F265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F2658">
      <w:rPr>
        <w:rStyle w:val="PageNumber"/>
        <w:rFonts w:ascii="Times New Roman" w:hAnsi="Times New Roman"/>
        <w:sz w:val="24"/>
        <w:szCs w:val="24"/>
      </w:rPr>
      <w:fldChar w:fldCharType="separate"/>
    </w:r>
    <w:r w:rsidR="00AA754B">
      <w:rPr>
        <w:rStyle w:val="PageNumber"/>
        <w:rFonts w:ascii="Times New Roman" w:hAnsi="Times New Roman"/>
        <w:noProof/>
        <w:sz w:val="24"/>
        <w:szCs w:val="24"/>
      </w:rPr>
      <w:t>1</w:t>
    </w:r>
    <w:r w:rsidRPr="005F2658">
      <w:rPr>
        <w:rStyle w:val="PageNumber"/>
        <w:rFonts w:ascii="Times New Roman" w:hAnsi="Times New Roman"/>
        <w:sz w:val="24"/>
        <w:szCs w:val="24"/>
      </w:rPr>
      <w:fldChar w:fldCharType="end"/>
    </w:r>
  </w:p>
  <w:p w:rsidR="00DB42E5" w:rsidRPr="00DB06C7" w:rsidRDefault="00DB42E5">
    <w:pPr>
      <w:pStyle w:val="Footer"/>
      <w:jc w:val="right"/>
      <w:rPr>
        <w:rFonts w:ascii="Times New Roman" w:hAnsi="Times New Roman"/>
      </w:rPr>
    </w:pPr>
  </w:p>
  <w:p w:rsidR="00DB42E5" w:rsidRDefault="00DB42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12" w:rsidRDefault="003F7B12" w:rsidP="00DB06C7">
      <w:pPr>
        <w:spacing w:after="0" w:line="240" w:lineRule="auto"/>
      </w:pPr>
      <w:r>
        <w:separator/>
      </w:r>
    </w:p>
  </w:footnote>
  <w:footnote w:type="continuationSeparator" w:id="0">
    <w:p w:rsidR="003F7B12" w:rsidRDefault="003F7B12" w:rsidP="00DB06C7">
      <w:pPr>
        <w:spacing w:after="0" w:line="240" w:lineRule="auto"/>
      </w:pPr>
      <w:r>
        <w:continuationSeparator/>
      </w:r>
    </w:p>
  </w:footnote>
  <w:footnote w:id="1">
    <w:p w:rsidR="00DB42E5" w:rsidRPr="005F2658" w:rsidRDefault="00DB42E5">
      <w:pPr>
        <w:pStyle w:val="FootnoteText"/>
        <w:rPr>
          <w:rFonts w:ascii="Times New Roman" w:hAnsi="Times New Roman"/>
        </w:rPr>
      </w:pPr>
      <w:r w:rsidRPr="005F2658">
        <w:rPr>
          <w:rStyle w:val="FootnoteReference"/>
          <w:rFonts w:ascii="Times New Roman" w:hAnsi="Times New Roman"/>
        </w:rPr>
        <w:t>i</w:t>
      </w:r>
      <w:r w:rsidRPr="005F2658">
        <w:rPr>
          <w:rFonts w:ascii="Times New Roman" w:hAnsi="Times New Roman"/>
        </w:rPr>
        <w:t xml:space="preserve"> </w:t>
      </w:r>
      <w:r w:rsidR="005B2BF0">
        <w:rPr>
          <w:rFonts w:ascii="Times New Roman" w:hAnsi="Times New Roman"/>
          <w:sz w:val="20"/>
        </w:rPr>
        <w:t>Energy intensity is the ratio</w:t>
      </w:r>
      <w:r w:rsidRPr="005F2658">
        <w:rPr>
          <w:rFonts w:ascii="Times New Roman" w:hAnsi="Times New Roman"/>
          <w:sz w:val="20"/>
        </w:rPr>
        <w:t xml:space="preserve"> of the state’s energy consumption to its Gross State Product (GSP)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5" w:rsidRPr="003D3883" w:rsidRDefault="00DB42E5" w:rsidP="003D3883">
    <w:pPr>
      <w:pStyle w:val="Header"/>
      <w:spacing w:line="360" w:lineRule="auto"/>
      <w:jc w:val="center"/>
      <w:rPr>
        <w:b/>
        <w:color w:val="FF000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960"/>
    <w:rsid w:val="000004D8"/>
    <w:rsid w:val="00006433"/>
    <w:rsid w:val="0002061F"/>
    <w:rsid w:val="0003139C"/>
    <w:rsid w:val="00031442"/>
    <w:rsid w:val="00046BC7"/>
    <w:rsid w:val="000719B8"/>
    <w:rsid w:val="00074316"/>
    <w:rsid w:val="000754BD"/>
    <w:rsid w:val="000808A7"/>
    <w:rsid w:val="00081F6A"/>
    <w:rsid w:val="00082C93"/>
    <w:rsid w:val="00094CFF"/>
    <w:rsid w:val="000974B6"/>
    <w:rsid w:val="000B47E1"/>
    <w:rsid w:val="000C3BE0"/>
    <w:rsid w:val="000C4C81"/>
    <w:rsid w:val="000F62A9"/>
    <w:rsid w:val="001171CE"/>
    <w:rsid w:val="00124638"/>
    <w:rsid w:val="001255A5"/>
    <w:rsid w:val="00152751"/>
    <w:rsid w:val="00162E81"/>
    <w:rsid w:val="00167D9E"/>
    <w:rsid w:val="0017497C"/>
    <w:rsid w:val="00190F80"/>
    <w:rsid w:val="00191C74"/>
    <w:rsid w:val="001973AE"/>
    <w:rsid w:val="001A031A"/>
    <w:rsid w:val="001A203D"/>
    <w:rsid w:val="001B52D2"/>
    <w:rsid w:val="001D02EB"/>
    <w:rsid w:val="001D0BE7"/>
    <w:rsid w:val="00211D89"/>
    <w:rsid w:val="00222036"/>
    <w:rsid w:val="00267DEA"/>
    <w:rsid w:val="00294B65"/>
    <w:rsid w:val="002A061D"/>
    <w:rsid w:val="002A0847"/>
    <w:rsid w:val="002B3E39"/>
    <w:rsid w:val="002B535D"/>
    <w:rsid w:val="002B6D1F"/>
    <w:rsid w:val="002D042E"/>
    <w:rsid w:val="002E1489"/>
    <w:rsid w:val="002E209C"/>
    <w:rsid w:val="002E39E9"/>
    <w:rsid w:val="002F1EDF"/>
    <w:rsid w:val="002F26F9"/>
    <w:rsid w:val="00310255"/>
    <w:rsid w:val="00310375"/>
    <w:rsid w:val="003239F4"/>
    <w:rsid w:val="003440B8"/>
    <w:rsid w:val="003513BE"/>
    <w:rsid w:val="00381734"/>
    <w:rsid w:val="003909C4"/>
    <w:rsid w:val="003A68E0"/>
    <w:rsid w:val="003D3883"/>
    <w:rsid w:val="003D5C41"/>
    <w:rsid w:val="003F22E4"/>
    <w:rsid w:val="003F4918"/>
    <w:rsid w:val="003F600F"/>
    <w:rsid w:val="003F77E3"/>
    <w:rsid w:val="003F7B12"/>
    <w:rsid w:val="0041615D"/>
    <w:rsid w:val="0042183A"/>
    <w:rsid w:val="00431053"/>
    <w:rsid w:val="00441300"/>
    <w:rsid w:val="00452B73"/>
    <w:rsid w:val="004719AB"/>
    <w:rsid w:val="004731D3"/>
    <w:rsid w:val="00490683"/>
    <w:rsid w:val="00495B41"/>
    <w:rsid w:val="004A0AB6"/>
    <w:rsid w:val="004A4B52"/>
    <w:rsid w:val="004C00CF"/>
    <w:rsid w:val="004F61A3"/>
    <w:rsid w:val="00505491"/>
    <w:rsid w:val="00514C5F"/>
    <w:rsid w:val="0052148B"/>
    <w:rsid w:val="00526308"/>
    <w:rsid w:val="00530D74"/>
    <w:rsid w:val="0053220F"/>
    <w:rsid w:val="00544F2D"/>
    <w:rsid w:val="00557655"/>
    <w:rsid w:val="005577B8"/>
    <w:rsid w:val="0056169B"/>
    <w:rsid w:val="00563A4B"/>
    <w:rsid w:val="00563CD3"/>
    <w:rsid w:val="00575E72"/>
    <w:rsid w:val="00580471"/>
    <w:rsid w:val="00585EBB"/>
    <w:rsid w:val="005A19E0"/>
    <w:rsid w:val="005B2BF0"/>
    <w:rsid w:val="005C34B8"/>
    <w:rsid w:val="005C7548"/>
    <w:rsid w:val="005E4781"/>
    <w:rsid w:val="005F2658"/>
    <w:rsid w:val="005F341E"/>
    <w:rsid w:val="006149C1"/>
    <w:rsid w:val="0065754A"/>
    <w:rsid w:val="00670A53"/>
    <w:rsid w:val="00671A75"/>
    <w:rsid w:val="0068020A"/>
    <w:rsid w:val="00693C04"/>
    <w:rsid w:val="006A1D16"/>
    <w:rsid w:val="006A54E6"/>
    <w:rsid w:val="006B3B69"/>
    <w:rsid w:val="006B68ED"/>
    <w:rsid w:val="006C486F"/>
    <w:rsid w:val="006C53A1"/>
    <w:rsid w:val="006D5BDD"/>
    <w:rsid w:val="006F2511"/>
    <w:rsid w:val="006F2A4C"/>
    <w:rsid w:val="0070081E"/>
    <w:rsid w:val="007054AC"/>
    <w:rsid w:val="00710621"/>
    <w:rsid w:val="007270A3"/>
    <w:rsid w:val="00731729"/>
    <w:rsid w:val="007331E9"/>
    <w:rsid w:val="0074060C"/>
    <w:rsid w:val="00761A5B"/>
    <w:rsid w:val="007858DA"/>
    <w:rsid w:val="0079225E"/>
    <w:rsid w:val="007A24CF"/>
    <w:rsid w:val="007A7404"/>
    <w:rsid w:val="007B1255"/>
    <w:rsid w:val="007D0469"/>
    <w:rsid w:val="007D0DC1"/>
    <w:rsid w:val="007E4197"/>
    <w:rsid w:val="007E5A2F"/>
    <w:rsid w:val="007E62AA"/>
    <w:rsid w:val="007E79CB"/>
    <w:rsid w:val="00805019"/>
    <w:rsid w:val="008106BE"/>
    <w:rsid w:val="008203BE"/>
    <w:rsid w:val="00822B7D"/>
    <w:rsid w:val="008341D3"/>
    <w:rsid w:val="00850CE5"/>
    <w:rsid w:val="00862766"/>
    <w:rsid w:val="00873C17"/>
    <w:rsid w:val="008811F5"/>
    <w:rsid w:val="00883CDF"/>
    <w:rsid w:val="00884135"/>
    <w:rsid w:val="008B2CF2"/>
    <w:rsid w:val="008C1DEE"/>
    <w:rsid w:val="008D0ECF"/>
    <w:rsid w:val="008E0621"/>
    <w:rsid w:val="008E0BF3"/>
    <w:rsid w:val="008E285C"/>
    <w:rsid w:val="00915EB2"/>
    <w:rsid w:val="009249FB"/>
    <w:rsid w:val="009256FD"/>
    <w:rsid w:val="00930B35"/>
    <w:rsid w:val="009400CD"/>
    <w:rsid w:val="00942A2B"/>
    <w:rsid w:val="009447C5"/>
    <w:rsid w:val="00966AFD"/>
    <w:rsid w:val="00971DDF"/>
    <w:rsid w:val="00972117"/>
    <w:rsid w:val="009B25C6"/>
    <w:rsid w:val="009B4F3B"/>
    <w:rsid w:val="009B7851"/>
    <w:rsid w:val="009C099A"/>
    <w:rsid w:val="009C3CA4"/>
    <w:rsid w:val="009D04DC"/>
    <w:rsid w:val="009D4DB1"/>
    <w:rsid w:val="009E45A6"/>
    <w:rsid w:val="009E6A2F"/>
    <w:rsid w:val="009F5AC4"/>
    <w:rsid w:val="00A00D31"/>
    <w:rsid w:val="00A01E2B"/>
    <w:rsid w:val="00A2357A"/>
    <w:rsid w:val="00A34F2E"/>
    <w:rsid w:val="00A35B75"/>
    <w:rsid w:val="00A52DA7"/>
    <w:rsid w:val="00A57D22"/>
    <w:rsid w:val="00A728AA"/>
    <w:rsid w:val="00A81964"/>
    <w:rsid w:val="00A84176"/>
    <w:rsid w:val="00A94D5D"/>
    <w:rsid w:val="00AA2E76"/>
    <w:rsid w:val="00AA754B"/>
    <w:rsid w:val="00AB3250"/>
    <w:rsid w:val="00AB62F3"/>
    <w:rsid w:val="00AC3CE6"/>
    <w:rsid w:val="00AC52A5"/>
    <w:rsid w:val="00AC7106"/>
    <w:rsid w:val="00AE4785"/>
    <w:rsid w:val="00B06C94"/>
    <w:rsid w:val="00B16DDC"/>
    <w:rsid w:val="00B36E1A"/>
    <w:rsid w:val="00B400E5"/>
    <w:rsid w:val="00B40165"/>
    <w:rsid w:val="00B416F7"/>
    <w:rsid w:val="00B71D6C"/>
    <w:rsid w:val="00B7700B"/>
    <w:rsid w:val="00B944F5"/>
    <w:rsid w:val="00BA380C"/>
    <w:rsid w:val="00BA6883"/>
    <w:rsid w:val="00BB3BDF"/>
    <w:rsid w:val="00BB4904"/>
    <w:rsid w:val="00BF7591"/>
    <w:rsid w:val="00C03335"/>
    <w:rsid w:val="00C15B0B"/>
    <w:rsid w:val="00C2383A"/>
    <w:rsid w:val="00C361B1"/>
    <w:rsid w:val="00C4070E"/>
    <w:rsid w:val="00C52762"/>
    <w:rsid w:val="00C74628"/>
    <w:rsid w:val="00C8588C"/>
    <w:rsid w:val="00C90E22"/>
    <w:rsid w:val="00C920C6"/>
    <w:rsid w:val="00CA29C2"/>
    <w:rsid w:val="00CB09C8"/>
    <w:rsid w:val="00CB7AB4"/>
    <w:rsid w:val="00CC1992"/>
    <w:rsid w:val="00CC72EC"/>
    <w:rsid w:val="00CD2B48"/>
    <w:rsid w:val="00CF312B"/>
    <w:rsid w:val="00CF65E1"/>
    <w:rsid w:val="00D02FDC"/>
    <w:rsid w:val="00D22960"/>
    <w:rsid w:val="00D35F65"/>
    <w:rsid w:val="00D437AE"/>
    <w:rsid w:val="00D46B7E"/>
    <w:rsid w:val="00D6512E"/>
    <w:rsid w:val="00D6570F"/>
    <w:rsid w:val="00D66686"/>
    <w:rsid w:val="00D77667"/>
    <w:rsid w:val="00D84B91"/>
    <w:rsid w:val="00D93E73"/>
    <w:rsid w:val="00D94CE6"/>
    <w:rsid w:val="00D969E0"/>
    <w:rsid w:val="00DB06C7"/>
    <w:rsid w:val="00DB07AE"/>
    <w:rsid w:val="00DB1857"/>
    <w:rsid w:val="00DB42E5"/>
    <w:rsid w:val="00DC329A"/>
    <w:rsid w:val="00DC3987"/>
    <w:rsid w:val="00DF1550"/>
    <w:rsid w:val="00E003A9"/>
    <w:rsid w:val="00E036A3"/>
    <w:rsid w:val="00E15FFA"/>
    <w:rsid w:val="00E16737"/>
    <w:rsid w:val="00E254D4"/>
    <w:rsid w:val="00E262AB"/>
    <w:rsid w:val="00E35570"/>
    <w:rsid w:val="00E4249F"/>
    <w:rsid w:val="00E4758F"/>
    <w:rsid w:val="00E50C50"/>
    <w:rsid w:val="00E53B4E"/>
    <w:rsid w:val="00E53CF9"/>
    <w:rsid w:val="00E66903"/>
    <w:rsid w:val="00E669B9"/>
    <w:rsid w:val="00E8326B"/>
    <w:rsid w:val="00E8517D"/>
    <w:rsid w:val="00E974F3"/>
    <w:rsid w:val="00EA0E40"/>
    <w:rsid w:val="00EA1ED1"/>
    <w:rsid w:val="00EA3D78"/>
    <w:rsid w:val="00ED0DF7"/>
    <w:rsid w:val="00EF1B18"/>
    <w:rsid w:val="00EF25FC"/>
    <w:rsid w:val="00F00268"/>
    <w:rsid w:val="00F1650D"/>
    <w:rsid w:val="00F34A18"/>
    <w:rsid w:val="00F4248F"/>
    <w:rsid w:val="00F5224B"/>
    <w:rsid w:val="00F55866"/>
    <w:rsid w:val="00F6305B"/>
    <w:rsid w:val="00F72EBE"/>
    <w:rsid w:val="00F87C40"/>
    <w:rsid w:val="00F87F1E"/>
    <w:rsid w:val="00F96BDA"/>
    <w:rsid w:val="00F96BE8"/>
    <w:rsid w:val="00FB1B94"/>
    <w:rsid w:val="00FB5FD6"/>
    <w:rsid w:val="00FC41FA"/>
    <w:rsid w:val="00FD1AA1"/>
    <w:rsid w:val="00FE5899"/>
    <w:rsid w:val="00FE61BA"/>
    <w:rsid w:val="00FF27C5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D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5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9E035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B2AB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FB2AB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DC238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F86CF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DC238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7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6C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D46B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6B7E"/>
  </w:style>
  <w:style w:type="character" w:styleId="EndnoteReference">
    <w:name w:val="endnote reference"/>
    <w:basedOn w:val="DefaultParagraphFont"/>
    <w:uiPriority w:val="99"/>
    <w:semiHidden/>
    <w:unhideWhenUsed/>
    <w:rsid w:val="00D46B7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A29C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9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29C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0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3A9"/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E003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E003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F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B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3883"/>
  </w:style>
  <w:style w:type="character" w:customStyle="1" w:styleId="apple-style-span">
    <w:name w:val="apple-style-span"/>
    <w:basedOn w:val="DefaultParagraphFont"/>
    <w:rsid w:val="007E5A2F"/>
  </w:style>
  <w:style w:type="character" w:styleId="CommentReference">
    <w:name w:val="annotation reference"/>
    <w:basedOn w:val="DefaultParagraphFont"/>
    <w:uiPriority w:val="99"/>
    <w:semiHidden/>
    <w:unhideWhenUsed/>
    <w:rsid w:val="003F6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0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0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hyperlink" Target="http://www.ef.org" TargetMode="External"/><Relationship Id="rId21" Type="http://schemas.openxmlformats.org/officeDocument/2006/relationships/hyperlink" Target="http://www.kresge.org" TargetMode="External"/><Relationship Id="rId22" Type="http://schemas.openxmlformats.org/officeDocument/2006/relationships/hyperlink" Target="http://www.turnerfoundation.org" TargetMode="External"/><Relationship Id="rId23" Type="http://schemas.openxmlformats.org/officeDocument/2006/relationships/hyperlink" Target="http://iopscience.iop.org/1748-9326/5/1/014017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chart" Target="charts/chart8.xml"/><Relationship Id="rId17" Type="http://schemas.openxmlformats.org/officeDocument/2006/relationships/chart" Target="charts/chart9.xml"/><Relationship Id="rId18" Type="http://schemas.openxmlformats.org/officeDocument/2006/relationships/chart" Target="charts/chart10.xml"/><Relationship Id="rId19" Type="http://schemas.openxmlformats.org/officeDocument/2006/relationships/chart" Target="charts/chart1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by%20sector%20and%20fuel%20graph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32610.xls" TargetMode="External"/><Relationship Id="rId2" Type="http://schemas.openxmlformats.org/officeDocument/2006/relationships/chartUserShapes" Target="../drawings/drawing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326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by%20sector%20and%20fuel%20grap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by%20sector%20and%20fuel%20gra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profile%20graphs%20020310.xls" TargetMode="External"/><Relationship Id="rId2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profile%20graphs%20020310.xls" TargetMode="External"/><Relationship Id="rId2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21910.xls" TargetMode="External"/><Relationship Id="rId2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21910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21910.xls" TargetMode="External"/><Relationship Id="rId2" Type="http://schemas.openxmlformats.org/officeDocument/2006/relationships/chartUserShapes" Target="../drawings/drawing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ZZIE\Desktop\GRA%20design%20work\State%20Stuff\state%20profile%20graphs%200219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88773154125607"/>
          <c:y val="0.0601851851851851"/>
          <c:w val="0.757965335865594"/>
          <c:h val="0.794120161209354"/>
        </c:manualLayout>
      </c:layout>
      <c:barChart>
        <c:barDir val="bar"/>
        <c:grouping val="clustered"/>
        <c:ser>
          <c:idx val="0"/>
          <c:order val="0"/>
          <c:cat>
            <c:strRef>
              <c:f>('historical by state 2'!$B$1,'historical by state 2'!$C$1,'historical by state 2'!$H$1)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state 2'!$B$7,'historical by state 2'!$C$7,'historical by state 2'!$H$7)</c:f>
              <c:numCache>
                <c:formatCode>#,##0.0</c:formatCode>
                <c:ptCount val="3"/>
                <c:pt idx="0" formatCode="#,##0">
                  <c:v>101600.066</c:v>
                </c:pt>
                <c:pt idx="1">
                  <c:v>43650.1</c:v>
                </c:pt>
                <c:pt idx="2" formatCode="General">
                  <c:v>1692.3</c:v>
                </c:pt>
              </c:numCache>
            </c:numRef>
          </c:val>
        </c:ser>
        <c:gapWidth val="75"/>
        <c:overlap val="-25"/>
        <c:axId val="687600504"/>
        <c:axId val="687001912"/>
      </c:barChart>
      <c:catAx>
        <c:axId val="687600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001912"/>
        <c:crosses val="autoZero"/>
        <c:auto val="1"/>
        <c:lblAlgn val="ctr"/>
        <c:lblOffset val="100"/>
      </c:catAx>
      <c:valAx>
        <c:axId val="687001912"/>
        <c:scaling>
          <c:orientation val="minMax"/>
        </c:scaling>
        <c:axPos val="b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600504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213346153846155"/>
          <c:y val="0.0497175141242945"/>
          <c:w val="0.728778316172022"/>
          <c:h val="0.744930290493355"/>
        </c:manualLayout>
      </c:layout>
      <c:lineChart>
        <c:grouping val="standard"/>
        <c:ser>
          <c:idx val="0"/>
          <c:order val="0"/>
          <c:tx>
            <c:strRef>
              <c:f>'SA STATES - Savings'!$C$1002</c:f>
              <c:strCache>
                <c:ptCount val="1"/>
                <c:pt idx="0">
                  <c:v>Baseline Forecast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Savings'!$G$1002:$AA$1002</c:f>
              <c:numCache>
                <c:formatCode>General</c:formatCode>
                <c:ptCount val="21"/>
                <c:pt idx="0">
                  <c:v>671.8757493975545</c:v>
                </c:pt>
                <c:pt idx="1">
                  <c:v>687.2693519392195</c:v>
                </c:pt>
                <c:pt idx="2">
                  <c:v>701.6069851077201</c:v>
                </c:pt>
                <c:pt idx="3">
                  <c:v>711.8594593942288</c:v>
                </c:pt>
                <c:pt idx="4">
                  <c:v>703.8639876182344</c:v>
                </c:pt>
                <c:pt idx="5">
                  <c:v>693.3101053912574</c:v>
                </c:pt>
                <c:pt idx="6">
                  <c:v>687.8193518129224</c:v>
                </c:pt>
                <c:pt idx="7">
                  <c:v>687.3236500260061</c:v>
                </c:pt>
                <c:pt idx="8">
                  <c:v>687.8311399354964</c:v>
                </c:pt>
                <c:pt idx="9">
                  <c:v>692.6618871100184</c:v>
                </c:pt>
                <c:pt idx="10">
                  <c:v>698.1791638602026</c:v>
                </c:pt>
                <c:pt idx="11">
                  <c:v>699.5044956187255</c:v>
                </c:pt>
                <c:pt idx="12">
                  <c:v>704.468025289273</c:v>
                </c:pt>
                <c:pt idx="13">
                  <c:v>705.3528301459675</c:v>
                </c:pt>
                <c:pt idx="14">
                  <c:v>702.3756826754844</c:v>
                </c:pt>
                <c:pt idx="15">
                  <c:v>702.6656260953312</c:v>
                </c:pt>
                <c:pt idx="16">
                  <c:v>696.1048675861992</c:v>
                </c:pt>
                <c:pt idx="17">
                  <c:v>686.2304184940979</c:v>
                </c:pt>
                <c:pt idx="18">
                  <c:v>676.7795599080135</c:v>
                </c:pt>
                <c:pt idx="19">
                  <c:v>670.8632197540496</c:v>
                </c:pt>
                <c:pt idx="20">
                  <c:v>669.0690958853079</c:v>
                </c:pt>
              </c:numCache>
            </c:numRef>
          </c:val>
        </c:ser>
        <c:ser>
          <c:idx val="1"/>
          <c:order val="1"/>
          <c:tx>
            <c:strRef>
              <c:f>'SA STATES - Savings'!$C$1003</c:f>
              <c:strCache>
                <c:ptCount val="1"/>
                <c:pt idx="0">
                  <c:v>Energy Efficiency Scenario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Savings'!$G$1003:$AA$1003</c:f>
              <c:numCache>
                <c:formatCode>General</c:formatCode>
                <c:ptCount val="21"/>
                <c:pt idx="0">
                  <c:v>655.5792483688685</c:v>
                </c:pt>
                <c:pt idx="1">
                  <c:v>668.0203678032274</c:v>
                </c:pt>
                <c:pt idx="2">
                  <c:v>679.2824436057203</c:v>
                </c:pt>
                <c:pt idx="3">
                  <c:v>687.2307227153727</c:v>
                </c:pt>
                <c:pt idx="4">
                  <c:v>676.9853630090367</c:v>
                </c:pt>
                <c:pt idx="5">
                  <c:v>664.0484248677528</c:v>
                </c:pt>
                <c:pt idx="6">
                  <c:v>655.7788350546132</c:v>
                </c:pt>
                <c:pt idx="7">
                  <c:v>652.2527943642975</c:v>
                </c:pt>
                <c:pt idx="8">
                  <c:v>650.3872877322174</c:v>
                </c:pt>
                <c:pt idx="9">
                  <c:v>652.8833360902886</c:v>
                </c:pt>
                <c:pt idx="10">
                  <c:v>656.9853868022049</c:v>
                </c:pt>
                <c:pt idx="11">
                  <c:v>657.3028594407674</c:v>
                </c:pt>
                <c:pt idx="12">
                  <c:v>660.8896647244625</c:v>
                </c:pt>
                <c:pt idx="13">
                  <c:v>662.603130081244</c:v>
                </c:pt>
                <c:pt idx="14">
                  <c:v>656.610358914913</c:v>
                </c:pt>
                <c:pt idx="15">
                  <c:v>658.1748357165713</c:v>
                </c:pt>
                <c:pt idx="16">
                  <c:v>650.7741303520598</c:v>
                </c:pt>
                <c:pt idx="17">
                  <c:v>641.8206076036114</c:v>
                </c:pt>
                <c:pt idx="18">
                  <c:v>632.1329076956254</c:v>
                </c:pt>
                <c:pt idx="19">
                  <c:v>621.8476754354854</c:v>
                </c:pt>
                <c:pt idx="20">
                  <c:v>620.435642479092</c:v>
                </c:pt>
              </c:numCache>
            </c:numRef>
          </c:val>
        </c:ser>
        <c:marker val="1"/>
        <c:axId val="687709848"/>
        <c:axId val="669668440"/>
      </c:lineChart>
      <c:catAx>
        <c:axId val="687709848"/>
        <c:scaling>
          <c:orientation val="minMax"/>
        </c:scaling>
        <c:axPos val="b"/>
        <c:numFmt formatCode="General" sourceLinked="1"/>
        <c:tickLblPos val="nextTo"/>
        <c:crossAx val="669668440"/>
        <c:crosses val="autoZero"/>
        <c:auto val="1"/>
        <c:lblAlgn val="ctr"/>
        <c:lblOffset val="100"/>
        <c:tickLblSkip val="5"/>
        <c:tickMarkSkip val="5"/>
      </c:catAx>
      <c:valAx>
        <c:axId val="669668440"/>
        <c:scaling>
          <c:orientation val="minMax"/>
          <c:max val="750.0"/>
          <c:min val="6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Consumption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687709848"/>
        <c:crosses val="autoZero"/>
        <c:crossBetween val="between"/>
        <c:majorUnit val="25.0"/>
      </c:valAx>
    </c:plotArea>
    <c:legend>
      <c:legendPos val="b"/>
      <c:layout>
        <c:manualLayout>
          <c:xMode val="edge"/>
          <c:yMode val="edge"/>
          <c:x val="4.81063786335074E-5"/>
          <c:y val="0.913996586928535"/>
          <c:w val="0.999951762786408"/>
          <c:h val="0.086003413071464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187620817843866"/>
          <c:y val="0.0538555691554469"/>
          <c:w val="0.77148698884758"/>
          <c:h val="0.755367514544555"/>
        </c:manualLayout>
      </c:layout>
      <c:barChart>
        <c:barDir val="col"/>
        <c:grouping val="stacked"/>
        <c:ser>
          <c:idx val="0"/>
          <c:order val="0"/>
          <c:tx>
            <c:strRef>
              <c:f>'SA STATES - Savings'!$D$601</c:f>
              <c:strCache>
                <c:ptCount val="1"/>
                <c:pt idx="0">
                  <c:v>Electricity</c:v>
                </c:pt>
              </c:strCache>
            </c:strRef>
          </c:tx>
          <c:cat>
            <c:numRef>
              <c:f>('SA STATES - Savings'!$Q$4,'SA STATES - Savings'!$AA$4)</c:f>
              <c:numCache>
                <c:formatCode>General</c:formatCode>
                <c:ptCount val="2"/>
                <c:pt idx="0">
                  <c:v>2020.0</c:v>
                </c:pt>
                <c:pt idx="1">
                  <c:v>2030.0</c:v>
                </c:pt>
              </c:numCache>
            </c:numRef>
          </c:cat>
          <c:val>
            <c:numRef>
              <c:f>('SA STATES - Savings'!$R$601,'SA STATES - Savings'!$AB$601)</c:f>
              <c:numCache>
                <c:formatCode>General</c:formatCode>
                <c:ptCount val="2"/>
                <c:pt idx="0">
                  <c:v>36.32901179077786</c:v>
                </c:pt>
                <c:pt idx="1">
                  <c:v>48.8888337263006</c:v>
                </c:pt>
              </c:numCache>
            </c:numRef>
          </c:val>
        </c:ser>
        <c:ser>
          <c:idx val="2"/>
          <c:order val="1"/>
          <c:tx>
            <c:strRef>
              <c:f>'SA STATES - Savings'!$D$602</c:f>
              <c:strCache>
                <c:ptCount val="1"/>
                <c:pt idx="0">
                  <c:v>Natural Gas</c:v>
                </c:pt>
              </c:strCache>
            </c:strRef>
          </c:tx>
          <c:val>
            <c:numRef>
              <c:f>('SA STATES - Savings'!$Q$602,'SA STATES - Savings'!$AA$602)</c:f>
              <c:numCache>
                <c:formatCode>General</c:formatCode>
                <c:ptCount val="2"/>
                <c:pt idx="0">
                  <c:v>3.061419841972508</c:v>
                </c:pt>
                <c:pt idx="1">
                  <c:v>0.183073534147</c:v>
                </c:pt>
              </c:numCache>
            </c:numRef>
          </c:val>
        </c:ser>
        <c:ser>
          <c:idx val="3"/>
          <c:order val="2"/>
          <c:tx>
            <c:strRef>
              <c:f>'SA STATES - Savings'!$D$604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C0504D"/>
            </a:solidFill>
          </c:spPr>
          <c:val>
            <c:numRef>
              <c:f>('SA STATES - Savings'!$Q$607,'SA STATES - Savings'!$AA$607)</c:f>
              <c:numCache>
                <c:formatCode>General</c:formatCode>
                <c:ptCount val="2"/>
                <c:pt idx="0">
                  <c:v>1.803345425247301</c:v>
                </c:pt>
                <c:pt idx="1">
                  <c:v>-0.438453854225203</c:v>
                </c:pt>
              </c:numCache>
            </c:numRef>
          </c:val>
        </c:ser>
        <c:gapWidth val="75"/>
        <c:overlap val="100"/>
        <c:axId val="687469496"/>
        <c:axId val="687351224"/>
      </c:barChart>
      <c:catAx>
        <c:axId val="687469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351224"/>
        <c:crosses val="autoZero"/>
        <c:auto val="1"/>
        <c:lblAlgn val="ctr"/>
        <c:lblOffset val="100"/>
      </c:catAx>
      <c:valAx>
        <c:axId val="687351224"/>
        <c:scaling>
          <c:orientation val="minMax"/>
          <c:max val="80.0"/>
          <c:min val="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Total Energy Savings (TBtu)</a:t>
                </a:r>
              </a:p>
            </c:rich>
          </c:tx>
          <c:layout>
            <c:manualLayout>
              <c:xMode val="edge"/>
              <c:yMode val="edge"/>
              <c:x val="0.00347989110056895"/>
              <c:y val="0.127378308480671"/>
            </c:manualLayout>
          </c:layout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469496"/>
        <c:crosses val="autoZero"/>
        <c:crossBetween val="between"/>
        <c:majorUnit val="20.0"/>
      </c:valAx>
    </c:plotArea>
    <c:legend>
      <c:legendPos val="b"/>
      <c:layout>
        <c:manualLayout>
          <c:xMode val="edge"/>
          <c:yMode val="edge"/>
          <c:x val="0.182440652167551"/>
          <c:y val="0.917146895099651"/>
          <c:w val="0.739207914995756"/>
          <c:h val="0.0828531049003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6330271216098"/>
          <c:y val="0.0509259259259259"/>
          <c:w val="0.78650649438051"/>
          <c:h val="0.676276179763241"/>
        </c:manualLayout>
      </c:layout>
      <c:barChart>
        <c:barDir val="bar"/>
        <c:grouping val="percentStacked"/>
        <c:ser>
          <c:idx val="0"/>
          <c:order val="0"/>
          <c:tx>
            <c:strRef>
              <c:f>'historical by sector'!$A$3</c:f>
              <c:strCache>
                <c:ptCount val="1"/>
                <c:pt idx="0">
                  <c:v>Residential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('historical by sector'!$B$1,'historical by sector'!$C$1,'historical by sector'!$P$1)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sector'!$B$14,'historical by sector'!$C$14,'historical by sector'!$P$14)</c:f>
              <c:numCache>
                <c:formatCode>0.0%</c:formatCode>
                <c:ptCount val="3"/>
                <c:pt idx="0">
                  <c:v>0.214</c:v>
                </c:pt>
                <c:pt idx="1">
                  <c:v>0.195</c:v>
                </c:pt>
                <c:pt idx="2">
                  <c:v>0.212</c:v>
                </c:pt>
              </c:numCache>
            </c:numRef>
          </c:val>
        </c:ser>
        <c:ser>
          <c:idx val="1"/>
          <c:order val="1"/>
          <c:tx>
            <c:strRef>
              <c:f>'historical by sector'!$A$4</c:f>
              <c:strCache>
                <c:ptCount val="1"/>
                <c:pt idx="0">
                  <c:v>Commercial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('historical by sector'!$B$1,'historical by sector'!$C$1,'historical by sector'!$P$1)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sector'!$B$15,'historical by sector'!$C$15,'historical by sector'!$P$15)</c:f>
              <c:numCache>
                <c:formatCode>0.0%</c:formatCode>
                <c:ptCount val="3"/>
                <c:pt idx="0">
                  <c:v>0.181</c:v>
                </c:pt>
                <c:pt idx="1">
                  <c:v>0.16</c:v>
                </c:pt>
                <c:pt idx="2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'historical by sector'!$A$5</c:f>
              <c:strCache>
                <c:ptCount val="1"/>
                <c:pt idx="0">
                  <c:v>Industrial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('historical by sector'!$B$1,'historical by sector'!$C$1,'historical by sector'!$P$1)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sector'!$B$16,'historical by sector'!$C$16,'historical by sector'!$P$16)</c:f>
              <c:numCache>
                <c:formatCode>0.0%</c:formatCode>
                <c:ptCount val="3"/>
                <c:pt idx="0">
                  <c:v>0.318000000000004</c:v>
                </c:pt>
                <c:pt idx="1">
                  <c:v>0.376000000000003</c:v>
                </c:pt>
                <c:pt idx="2">
                  <c:v>0.367</c:v>
                </c:pt>
              </c:numCache>
            </c:numRef>
          </c:val>
        </c:ser>
        <c:ser>
          <c:idx val="3"/>
          <c:order val="3"/>
          <c:tx>
            <c:strRef>
              <c:f>'historical by sector'!$A$6</c:f>
              <c:strCache>
                <c:ptCount val="1"/>
                <c:pt idx="0">
                  <c:v>Transportation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('historical by sector'!$B$1,'historical by sector'!$C$1,'historical by sector'!$P$1)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sector'!$B$17,'historical by sector'!$C$17,'historical by sector'!$P$17)</c:f>
              <c:numCache>
                <c:formatCode>0.0%</c:formatCode>
                <c:ptCount val="3"/>
                <c:pt idx="0">
                  <c:v>0.286</c:v>
                </c:pt>
                <c:pt idx="1">
                  <c:v>0.269</c:v>
                </c:pt>
                <c:pt idx="2">
                  <c:v>0.265</c:v>
                </c:pt>
              </c:numCache>
            </c:numRef>
          </c:val>
        </c:ser>
        <c:dLbls>
          <c:showVal val="1"/>
        </c:dLbls>
        <c:gapWidth val="75"/>
        <c:overlap val="100"/>
        <c:axId val="687680840"/>
        <c:axId val="609801800"/>
      </c:barChart>
      <c:catAx>
        <c:axId val="687680840"/>
        <c:scaling>
          <c:orientation val="minMax"/>
        </c:scaling>
        <c:axPos val="l"/>
        <c:majorGridlines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9801800"/>
        <c:crosses val="autoZero"/>
        <c:auto val="1"/>
        <c:lblAlgn val="ctr"/>
        <c:lblOffset val="100"/>
      </c:catAx>
      <c:valAx>
        <c:axId val="609801800"/>
        <c:scaling>
          <c:orientation val="minMax"/>
        </c:scaling>
        <c:axPos val="b"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680840"/>
        <c:crosses val="autoZero"/>
        <c:crossBetween val="between"/>
      </c:valAx>
      <c:spPr>
        <a:ln>
          <a:solidFill>
            <a:sysClr val="window" lastClr="FFFFFF">
              <a:lumMod val="50000"/>
            </a:sysClr>
          </a:solidFill>
        </a:ln>
      </c:spPr>
    </c:plotArea>
    <c:legend>
      <c:legendPos val="b"/>
      <c:layout>
        <c:manualLayout>
          <c:xMode val="edge"/>
          <c:yMode val="edge"/>
          <c:x val="0.236909112322499"/>
          <c:y val="0.870651882800367"/>
          <c:w val="0.526181549749451"/>
          <c:h val="0.079409747077069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35309332078127"/>
          <c:y val="0.0348473937773403"/>
          <c:w val="0.777801566257093"/>
          <c:h val="0.737830123602298"/>
        </c:manualLayout>
      </c:layout>
      <c:barChart>
        <c:barDir val="bar"/>
        <c:grouping val="percentStacked"/>
        <c:ser>
          <c:idx val="0"/>
          <c:order val="0"/>
          <c:tx>
            <c:strRef>
              <c:f>'historical by fuel type'!$A$11</c:f>
              <c:strCache>
                <c:ptCount val="1"/>
                <c:pt idx="0">
                  <c:v>Coal</c:v>
                </c:pt>
              </c:strCache>
            </c:strRef>
          </c:tx>
          <c:dLbls>
            <c:numFmt formatCode="0.0%" sourceLinked="0"/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type'!$B$11,'historical by fuel type'!$C$11,'historical by fuel type'!$P$11)</c:f>
              <c:numCache>
                <c:formatCode>General</c:formatCode>
                <c:ptCount val="3"/>
                <c:pt idx="0">
                  <c:v>0.223907480314964</c:v>
                </c:pt>
                <c:pt idx="1">
                  <c:v>0.229862542955326</c:v>
                </c:pt>
                <c:pt idx="2">
                  <c:v>0.262364828931045</c:v>
                </c:pt>
              </c:numCache>
            </c:numRef>
          </c:val>
        </c:ser>
        <c:ser>
          <c:idx val="1"/>
          <c:order val="1"/>
          <c:tx>
            <c:strRef>
              <c:f>'historical by fuel type'!$A$12</c:f>
              <c:strCache>
                <c:ptCount val="1"/>
                <c:pt idx="0">
                  <c:v>Natural Gas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type'!$B$12,'historical by fuel type'!$C$12,'historical by fuel type'!$P$12)</c:f>
              <c:numCache>
                <c:formatCode>General</c:formatCode>
                <c:ptCount val="3"/>
                <c:pt idx="0">
                  <c:v>0.23255905511811</c:v>
                </c:pt>
                <c:pt idx="1">
                  <c:v>0.225253150057275</c:v>
                </c:pt>
                <c:pt idx="2">
                  <c:v>0.10654139336997</c:v>
                </c:pt>
              </c:numCache>
            </c:numRef>
          </c:val>
        </c:ser>
        <c:ser>
          <c:idx val="2"/>
          <c:order val="2"/>
          <c:tx>
            <c:strRef>
              <c:f>'historical by fuel type'!$A$13</c:f>
              <c:strCache>
                <c:ptCount val="1"/>
                <c:pt idx="0">
                  <c:v>Petroleum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type'!$B$13,'historical by fuel type'!$C$13,'historical by fuel type'!$P$13)</c:f>
              <c:numCache>
                <c:formatCode>General</c:formatCode>
                <c:ptCount val="3"/>
                <c:pt idx="0">
                  <c:v>0.391466535433076</c:v>
                </c:pt>
                <c:pt idx="1">
                  <c:v>0.407225658648335</c:v>
                </c:pt>
                <c:pt idx="2">
                  <c:v>0.340660639366547</c:v>
                </c:pt>
              </c:numCache>
            </c:numRef>
          </c:val>
        </c:ser>
        <c:ser>
          <c:idx val="3"/>
          <c:order val="3"/>
          <c:tx>
            <c:strRef>
              <c:f>'historical by fuel type'!$A$14</c:f>
              <c:strCache>
                <c:ptCount val="1"/>
                <c:pt idx="0">
                  <c:v>Nuclear Electric Power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type'!$B$14,'historical by fuel type'!$C$14,'historical by fuel type'!$P$14)</c:f>
              <c:numCache>
                <c:formatCode>General</c:formatCode>
                <c:ptCount val="3"/>
                <c:pt idx="0">
                  <c:v>0.083248031496063</c:v>
                </c:pt>
                <c:pt idx="1">
                  <c:v>0.0823184421534948</c:v>
                </c:pt>
                <c:pt idx="2">
                  <c:v>0.329728771494426</c:v>
                </c:pt>
              </c:numCache>
            </c:numRef>
          </c:val>
        </c:ser>
        <c:ser>
          <c:idx val="4"/>
          <c:order val="4"/>
          <c:tx>
            <c:strRef>
              <c:f>'historical by fuel type'!$A$15</c:f>
              <c:strCache>
                <c:ptCount val="1"/>
                <c:pt idx="0">
                  <c:v>Renewables</c:v>
                </c:pt>
              </c:strCache>
            </c:strRef>
          </c:tx>
          <c:dLbls>
            <c:dLbl>
              <c:idx val="1"/>
              <c:layout>
                <c:manualLayout>
                  <c:x val="0.0070992772432669"/>
                  <c:y val="0.090928993048145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4.1%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0372712055271518"/>
                  <c:y val="-1.60289642475769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5.7%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type'!$B$15,'historical by fuel type'!$C$15,'historical by fuel type'!$P$15)</c:f>
              <c:numCache>
                <c:formatCode>General</c:formatCode>
                <c:ptCount val="3"/>
                <c:pt idx="0">
                  <c:v>0.0670669291338594</c:v>
                </c:pt>
                <c:pt idx="1">
                  <c:v>0.0409873997709049</c:v>
                </c:pt>
                <c:pt idx="2">
                  <c:v>0.0569638952904331</c:v>
                </c:pt>
              </c:numCache>
            </c:numRef>
          </c:val>
        </c:ser>
        <c:ser>
          <c:idx val="5"/>
          <c:order val="5"/>
          <c:tx>
            <c:strRef>
              <c:f>'historical by fuel type'!$A$16</c:f>
              <c:strCache>
                <c:ptCount val="1"/>
                <c:pt idx="0">
                  <c:v>Other</c:v>
                </c:pt>
              </c:strCache>
            </c:strRef>
          </c:tx>
          <c:dLbls>
            <c:dLbl>
              <c:idx val="0"/>
              <c:layout>
                <c:manualLayout>
                  <c:x val="0.0264786271227613"/>
                  <c:y val="-0.003497268963390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0.2%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0316594225157217"/>
                  <c:y val="-0.0034972689633901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('historical by fuel type'!$B$1,'historical by fuel type'!$C$1,'historical by fuel type'!$P$1)</c:f>
              <c:strCache>
                <c:ptCount val="3"/>
                <c:pt idx="0">
                  <c:v>United States 
101,600 TBtu</c:v>
                </c:pt>
                <c:pt idx="1">
                  <c:v>South Region 
43,650 TBtu</c:v>
                </c:pt>
                <c:pt idx="2">
                  <c:v>South Carolina 
1,692 Tbtu</c:v>
                </c:pt>
              </c:strCache>
            </c:strRef>
          </c:cat>
          <c:val>
            <c:numRef>
              <c:f>('historical by fuel type'!$B$16,'historical by fuel type'!$C$16,'historical by fuel type'!$P$16)</c:f>
              <c:numCache>
                <c:formatCode>General</c:formatCode>
                <c:ptCount val="3"/>
                <c:pt idx="0">
                  <c:v>0.00175196850393701</c:v>
                </c:pt>
                <c:pt idx="1">
                  <c:v>0.0143528064146623</c:v>
                </c:pt>
                <c:pt idx="2">
                  <c:v>-0.0962595284524033</c:v>
                </c:pt>
              </c:numCache>
            </c:numRef>
          </c:val>
        </c:ser>
        <c:dLbls>
          <c:showVal val="1"/>
        </c:dLbls>
        <c:gapWidth val="95"/>
        <c:overlap val="100"/>
        <c:axId val="687810808"/>
        <c:axId val="687549576"/>
      </c:barChart>
      <c:catAx>
        <c:axId val="687810808"/>
        <c:scaling>
          <c:orientation val="minMax"/>
        </c:scaling>
        <c:axPos val="l"/>
        <c:majorGridlines/>
        <c:numFmt formatCode="@" sourceLinked="0"/>
        <c:maj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549576"/>
        <c:crosses val="autoZero"/>
        <c:lblAlgn val="ctr"/>
        <c:lblOffset val="100"/>
      </c:catAx>
      <c:valAx>
        <c:axId val="687549576"/>
        <c:scaling>
          <c:orientation val="minMax"/>
        </c:scaling>
        <c:axPos val="b"/>
        <c:numFmt formatCode="0%" sourceLinked="1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81080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t"/>
      <c:layout>
        <c:manualLayout>
          <c:xMode val="edge"/>
          <c:yMode val="edge"/>
          <c:x val="0.104142131967427"/>
          <c:y val="0.902295392554685"/>
          <c:w val="0.859297563766068"/>
          <c:h val="0.059328276521071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62619205812918"/>
          <c:y val="0.0508474576271188"/>
          <c:w val="0.796695646437383"/>
          <c:h val="0.749152542372885"/>
        </c:manualLayout>
      </c:layout>
      <c:lineChart>
        <c:grouping val="standard"/>
        <c:ser>
          <c:idx val="0"/>
          <c:order val="0"/>
          <c:tx>
            <c:v>Baseline</c:v>
          </c:tx>
          <c:spPr>
            <a:ln w="25400" cap="flat" cmpd="sng" algn="ctr">
              <a:solidFill>
                <a:schemeClr val="dk1"/>
              </a:solidFill>
              <a:prstDash val="dash"/>
            </a:ln>
            <a:effectLst/>
          </c:spPr>
          <c:marker>
            <c:symbol val="none"/>
          </c:marker>
          <c:cat>
            <c:numRef>
              <c:f>'EE Potential'!$F$12:$Z$12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'EE Potential'!$F$58:$Z$58</c:f>
              <c:numCache>
                <c:formatCode>General</c:formatCode>
                <c:ptCount val="21"/>
                <c:pt idx="0">
                  <c:v>1477.46571193688</c:v>
                </c:pt>
                <c:pt idx="1">
                  <c:v>1498.434875377201</c:v>
                </c:pt>
                <c:pt idx="2">
                  <c:v>1511.927897606173</c:v>
                </c:pt>
                <c:pt idx="3">
                  <c:v>1514.965743942391</c:v>
                </c:pt>
                <c:pt idx="4">
                  <c:v>1508.790994852163</c:v>
                </c:pt>
                <c:pt idx="5">
                  <c:v>1507.033725250325</c:v>
                </c:pt>
                <c:pt idx="6">
                  <c:v>1506.129865596864</c:v>
                </c:pt>
                <c:pt idx="7">
                  <c:v>1506.6325579291</c:v>
                </c:pt>
                <c:pt idx="8">
                  <c:v>1510.089267610482</c:v>
                </c:pt>
                <c:pt idx="9">
                  <c:v>1512.855964002288</c:v>
                </c:pt>
                <c:pt idx="10">
                  <c:v>1513.120779868616</c:v>
                </c:pt>
                <c:pt idx="11">
                  <c:v>1508.515857499276</c:v>
                </c:pt>
                <c:pt idx="12">
                  <c:v>1503.101040364686</c:v>
                </c:pt>
                <c:pt idx="13">
                  <c:v>1501.01397002048</c:v>
                </c:pt>
                <c:pt idx="14">
                  <c:v>1496.158501846728</c:v>
                </c:pt>
                <c:pt idx="15">
                  <c:v>1497.237142882458</c:v>
                </c:pt>
                <c:pt idx="16">
                  <c:v>1486.834633798052</c:v>
                </c:pt>
                <c:pt idx="17">
                  <c:v>1481.435320495618</c:v>
                </c:pt>
                <c:pt idx="18">
                  <c:v>1479.5442326021</c:v>
                </c:pt>
                <c:pt idx="19">
                  <c:v>1476.91664648307</c:v>
                </c:pt>
                <c:pt idx="20">
                  <c:v>1476.239279588651</c:v>
                </c:pt>
              </c:numCache>
            </c:numRef>
          </c:val>
        </c:ser>
        <c:ser>
          <c:idx val="1"/>
          <c:order val="1"/>
          <c:tx>
            <c:v>Residential</c:v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ymbol val="none"/>
          </c:marker>
          <c:cat>
            <c:numRef>
              <c:f>'EE Potential'!$F$12:$Z$12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'EE Potential'!$F$62:$Z$62</c:f>
              <c:numCache>
                <c:formatCode>General</c:formatCode>
                <c:ptCount val="21"/>
                <c:pt idx="0">
                  <c:v>1475.2166410539</c:v>
                </c:pt>
                <c:pt idx="1">
                  <c:v>1494.745661280508</c:v>
                </c:pt>
                <c:pt idx="2">
                  <c:v>1506.790885874782</c:v>
                </c:pt>
                <c:pt idx="3">
                  <c:v>1508.130722850478</c:v>
                </c:pt>
                <c:pt idx="4">
                  <c:v>1498.406086184808</c:v>
                </c:pt>
                <c:pt idx="5">
                  <c:v>1491.367470600936</c:v>
                </c:pt>
                <c:pt idx="6">
                  <c:v>1485.281067169252</c:v>
                </c:pt>
                <c:pt idx="7">
                  <c:v>1480.965301530188</c:v>
                </c:pt>
                <c:pt idx="8">
                  <c:v>1480.264547601527</c:v>
                </c:pt>
                <c:pt idx="9">
                  <c:v>1478.952218716172</c:v>
                </c:pt>
                <c:pt idx="10">
                  <c:v>1475.496069244373</c:v>
                </c:pt>
                <c:pt idx="11">
                  <c:v>1467.477398641354</c:v>
                </c:pt>
                <c:pt idx="12">
                  <c:v>1458.455920980815</c:v>
                </c:pt>
                <c:pt idx="13">
                  <c:v>1453.121874483256</c:v>
                </c:pt>
                <c:pt idx="14">
                  <c:v>1445.45578919327</c:v>
                </c:pt>
                <c:pt idx="15">
                  <c:v>1443.838510414275</c:v>
                </c:pt>
                <c:pt idx="16">
                  <c:v>1431.246505103066</c:v>
                </c:pt>
                <c:pt idx="17">
                  <c:v>1423.74149933385</c:v>
                </c:pt>
                <c:pt idx="18">
                  <c:v>1420.222572395996</c:v>
                </c:pt>
                <c:pt idx="19">
                  <c:v>1416.298091674348</c:v>
                </c:pt>
                <c:pt idx="20">
                  <c:v>1414.304012048332</c:v>
                </c:pt>
              </c:numCache>
            </c:numRef>
          </c:val>
        </c:ser>
        <c:ser>
          <c:idx val="2"/>
          <c:order val="2"/>
          <c:tx>
            <c:v>Commercial</c:v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ymbol val="none"/>
          </c:marker>
          <c:cat>
            <c:numRef>
              <c:f>'EE Potential'!$F$12:$Z$12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'EE Potential'!$F$63:$Z$63</c:f>
              <c:numCache>
                <c:formatCode>General</c:formatCode>
                <c:ptCount val="21"/>
                <c:pt idx="0">
                  <c:v>1469.009990774146</c:v>
                </c:pt>
                <c:pt idx="1">
                  <c:v>1485.293017994258</c:v>
                </c:pt>
                <c:pt idx="2">
                  <c:v>1494.125940751717</c:v>
                </c:pt>
                <c:pt idx="3">
                  <c:v>1492.434267170886</c:v>
                </c:pt>
                <c:pt idx="4">
                  <c:v>1479.275007158108</c:v>
                </c:pt>
                <c:pt idx="5">
                  <c:v>1467.8865700097</c:v>
                </c:pt>
                <c:pt idx="6">
                  <c:v>1457.652515321445</c:v>
                </c:pt>
                <c:pt idx="7">
                  <c:v>1449.661860013945</c:v>
                </c:pt>
                <c:pt idx="8">
                  <c:v>1445.613889469571</c:v>
                </c:pt>
                <c:pt idx="9">
                  <c:v>1441.20920709051</c:v>
                </c:pt>
                <c:pt idx="10">
                  <c:v>1434.6431568218</c:v>
                </c:pt>
                <c:pt idx="11">
                  <c:v>1423.833934840908</c:v>
                </c:pt>
                <c:pt idx="12">
                  <c:v>1411.646550369565</c:v>
                </c:pt>
                <c:pt idx="13">
                  <c:v>1403.337490335708</c:v>
                </c:pt>
                <c:pt idx="14">
                  <c:v>1392.750783499596</c:v>
                </c:pt>
                <c:pt idx="15">
                  <c:v>1388.057507086197</c:v>
                </c:pt>
                <c:pt idx="16">
                  <c:v>1372.641416350664</c:v>
                </c:pt>
                <c:pt idx="17">
                  <c:v>1362.416628302531</c:v>
                </c:pt>
                <c:pt idx="18">
                  <c:v>1356.558112232983</c:v>
                </c:pt>
                <c:pt idx="19">
                  <c:v>1350.003859227038</c:v>
                </c:pt>
                <c:pt idx="20">
                  <c:v>1345.230102277156</c:v>
                </c:pt>
              </c:numCache>
            </c:numRef>
          </c:val>
        </c:ser>
        <c:ser>
          <c:idx val="3"/>
          <c:order val="3"/>
          <c:tx>
            <c:v>Industrial</c:v>
          </c:tx>
          <c:spPr>
            <a:ln w="25400" cap="flat" cmpd="sng" algn="ctr">
              <a:solidFill>
                <a:schemeClr val="accent3"/>
              </a:solidFill>
              <a:prstDash val="solid"/>
            </a:ln>
            <a:effectLst/>
          </c:spPr>
          <c:marker>
            <c:symbol val="none"/>
          </c:marker>
          <c:cat>
            <c:numRef>
              <c:f>'EE Potential'!$F$12:$Z$12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'EE Potential'!$F$64:$Z$64</c:f>
              <c:numCache>
                <c:formatCode>General</c:formatCode>
                <c:ptCount val="21"/>
                <c:pt idx="0">
                  <c:v>1455.784851407313</c:v>
                </c:pt>
                <c:pt idx="1">
                  <c:v>1469.517535313165</c:v>
                </c:pt>
                <c:pt idx="2">
                  <c:v>1475.450613638842</c:v>
                </c:pt>
                <c:pt idx="3">
                  <c:v>1471.251521188652</c:v>
                </c:pt>
                <c:pt idx="4">
                  <c:v>1455.056129094113</c:v>
                </c:pt>
                <c:pt idx="5">
                  <c:v>1443.216732101021</c:v>
                </c:pt>
                <c:pt idx="6">
                  <c:v>1430.536425977694</c:v>
                </c:pt>
                <c:pt idx="7">
                  <c:v>1421.028507003908</c:v>
                </c:pt>
                <c:pt idx="8">
                  <c:v>1415.479241293216</c:v>
                </c:pt>
                <c:pt idx="9">
                  <c:v>1408.332129546885</c:v>
                </c:pt>
                <c:pt idx="10">
                  <c:v>1400.48248895272</c:v>
                </c:pt>
                <c:pt idx="11">
                  <c:v>1388.939452509474</c:v>
                </c:pt>
                <c:pt idx="12">
                  <c:v>1374.611743940657</c:v>
                </c:pt>
                <c:pt idx="13">
                  <c:v>1368.066784685856</c:v>
                </c:pt>
                <c:pt idx="14">
                  <c:v>1357.12542074703</c:v>
                </c:pt>
                <c:pt idx="15">
                  <c:v>1354.529830419214</c:v>
                </c:pt>
                <c:pt idx="16">
                  <c:v>1339.454984528054</c:v>
                </c:pt>
                <c:pt idx="17">
                  <c:v>1327.32245369192</c:v>
                </c:pt>
                <c:pt idx="18">
                  <c:v>1321.985278541351</c:v>
                </c:pt>
                <c:pt idx="19">
                  <c:v>1311.499735366952</c:v>
                </c:pt>
                <c:pt idx="20">
                  <c:v>1308.114829092455</c:v>
                </c:pt>
              </c:numCache>
            </c:numRef>
          </c:val>
        </c:ser>
        <c:marker val="1"/>
        <c:axId val="687510600"/>
        <c:axId val="687685704"/>
      </c:lineChart>
      <c:catAx>
        <c:axId val="687510600"/>
        <c:scaling>
          <c:orientation val="minMax"/>
        </c:scaling>
        <c:axPos val="b"/>
        <c:numFmt formatCode="General" sourceLinked="1"/>
        <c:tickLblPos val="nextTo"/>
        <c:crossAx val="687685704"/>
        <c:crosses val="autoZero"/>
        <c:auto val="1"/>
        <c:lblAlgn val="ctr"/>
        <c:lblOffset val="10"/>
        <c:tickLblSkip val="5"/>
      </c:catAx>
      <c:valAx>
        <c:axId val="687685704"/>
        <c:scaling>
          <c:orientation val="minMax"/>
          <c:max val="1550.0"/>
          <c:min val="125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</a:t>
                </a:r>
                <a:r>
                  <a:rPr lang="en-US" baseline="0"/>
                  <a:t> Energy </a:t>
                </a:r>
                <a:r>
                  <a:rPr lang="en-US"/>
                  <a:t>Consumption</a:t>
                </a:r>
              </a:p>
              <a:p>
                <a:pPr>
                  <a:defRPr/>
                </a:pPr>
                <a:r>
                  <a:rPr lang="en-US"/>
                  <a:t>-All Sectors  (TBtu)</a:t>
                </a:r>
              </a:p>
            </c:rich>
          </c:tx>
          <c:layout>
            <c:manualLayout>
              <c:xMode val="edge"/>
              <c:yMode val="edge"/>
              <c:x val="0.00423905719145978"/>
              <c:y val="0.128278660082744"/>
            </c:manualLayout>
          </c:layout>
        </c:title>
        <c:numFmt formatCode="#,##0" sourceLinked="0"/>
        <c:majorTickMark val="none"/>
        <c:tickLblPos val="nextTo"/>
        <c:spPr>
          <a:ln w="9525">
            <a:noFill/>
          </a:ln>
        </c:spPr>
        <c:crossAx val="687510600"/>
        <c:crosses val="autoZero"/>
        <c:crossBetween val="between"/>
        <c:majorUnit val="100.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>
        <c:manualLayout>
          <c:layoutTarget val="inner"/>
          <c:xMode val="edge"/>
          <c:yMode val="edge"/>
          <c:x val="0.126349518810149"/>
          <c:y val="0.0559146252551771"/>
          <c:w val="0.843094925634305"/>
          <c:h val="0.679908892075613"/>
        </c:manualLayout>
      </c:layout>
      <c:barChart>
        <c:barDir val="col"/>
        <c:grouping val="stacked"/>
        <c:ser>
          <c:idx val="0"/>
          <c:order val="0"/>
          <c:tx>
            <c:v>Consumption with Policy Packages</c:v>
          </c:tx>
          <c:cat>
            <c:numRef>
              <c:f>('Figure 5'!$E$5,'Figure 5'!$F$5,'Figure 5'!$E$5,'Figure 5'!$F$5,'Figure 5'!$E$5,'Figure 5'!$F$5)</c:f>
              <c:numCache>
                <c:formatCode>General</c:formatCode>
                <c:ptCount val="6"/>
                <c:pt idx="0">
                  <c:v>2020.0</c:v>
                </c:pt>
                <c:pt idx="1">
                  <c:v>2030.0</c:v>
                </c:pt>
                <c:pt idx="2">
                  <c:v>2020.0</c:v>
                </c:pt>
                <c:pt idx="3">
                  <c:v>2030.0</c:v>
                </c:pt>
                <c:pt idx="4">
                  <c:v>2020.0</c:v>
                </c:pt>
                <c:pt idx="5">
                  <c:v>2030.0</c:v>
                </c:pt>
              </c:numCache>
            </c:numRef>
          </c:cat>
          <c:val>
            <c:numRef>
              <c:f>('Figure 5'!$E$104,'Figure 5'!$F$104,'Figure 5'!$E$106,'Figure 5'!$F$106,'Figure 5'!$E$108,'Figure 5'!$F$108)</c:f>
              <c:numCache>
                <c:formatCode>General</c:formatCode>
                <c:ptCount val="6"/>
                <c:pt idx="0">
                  <c:v>259.678162771926</c:v>
                </c:pt>
                <c:pt idx="1">
                  <c:v>261.1241438261045</c:v>
                </c:pt>
                <c:pt idx="2">
                  <c:v>656.9853868022049</c:v>
                </c:pt>
                <c:pt idx="3">
                  <c:v>620.435642479092</c:v>
                </c:pt>
                <c:pt idx="4">
                  <c:v>329.6398418702593</c:v>
                </c:pt>
                <c:pt idx="5">
                  <c:v>331.3991960661269</c:v>
                </c:pt>
              </c:numCache>
            </c:numRef>
          </c:val>
        </c:ser>
        <c:ser>
          <c:idx val="1"/>
          <c:order val="1"/>
          <c:tx>
            <c:v>Savings Potential from Baseline</c:v>
          </c:tx>
          <c:cat>
            <c:numRef>
              <c:f>('Figure 5'!$E$5,'Figure 5'!$F$5,'Figure 5'!$E$5,'Figure 5'!$F$5,'Figure 5'!$E$5,'Figure 5'!$F$5)</c:f>
              <c:numCache>
                <c:formatCode>General</c:formatCode>
                <c:ptCount val="6"/>
                <c:pt idx="0">
                  <c:v>2020.0</c:v>
                </c:pt>
                <c:pt idx="1">
                  <c:v>2030.0</c:v>
                </c:pt>
                <c:pt idx="2">
                  <c:v>2020.0</c:v>
                </c:pt>
                <c:pt idx="3">
                  <c:v>2030.0</c:v>
                </c:pt>
                <c:pt idx="4">
                  <c:v>2020.0</c:v>
                </c:pt>
                <c:pt idx="5">
                  <c:v>2030.0</c:v>
                </c:pt>
              </c:numCache>
            </c:numRef>
          </c:cat>
          <c:val>
            <c:numRef>
              <c:f>('Figure 5'!$E$105,'Figure 5'!$F$105,'Figure 5'!$E$107,'Figure 5'!$F$107,'Figure 5'!$E$109,'Figure 5'!$F$109)</c:f>
              <c:numCache>
                <c:formatCode>General</c:formatCode>
                <c:ptCount val="6"/>
                <c:pt idx="0">
                  <c:v>40.85291242257256</c:v>
                </c:pt>
                <c:pt idx="1">
                  <c:v>69.07390977119188</c:v>
                </c:pt>
                <c:pt idx="2">
                  <c:v>41.19377705799729</c:v>
                </c:pt>
                <c:pt idx="3">
                  <c:v>48.63345340622219</c:v>
                </c:pt>
                <c:pt idx="4">
                  <c:v>37.62471062424385</c:v>
                </c:pt>
                <c:pt idx="5">
                  <c:v>61.9352675403029</c:v>
                </c:pt>
              </c:numCache>
            </c:numRef>
          </c:val>
        </c:ser>
        <c:gapWidth val="60"/>
        <c:overlap val="100"/>
        <c:axId val="687731016"/>
        <c:axId val="688215352"/>
      </c:barChart>
      <c:catAx>
        <c:axId val="687731016"/>
        <c:scaling>
          <c:orientation val="minMax"/>
        </c:scaling>
        <c:axPos val="b"/>
        <c:numFmt formatCode="General" sourceLinked="1"/>
        <c:majorTickMark val="none"/>
        <c:tickLblPos val="nextTo"/>
        <c:crossAx val="688215352"/>
        <c:crosses val="autoZero"/>
        <c:auto val="1"/>
        <c:lblAlgn val="ctr"/>
        <c:lblOffset val="10"/>
      </c:catAx>
      <c:valAx>
        <c:axId val="688215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Consumption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68773101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221437125748503"/>
          <c:y val="0.0497175141242949"/>
          <c:w val="0.717589388152828"/>
          <c:h val="0.729273010365234"/>
        </c:manualLayout>
      </c:layout>
      <c:lineChart>
        <c:grouping val="standard"/>
        <c:ser>
          <c:idx val="0"/>
          <c:order val="0"/>
          <c:tx>
            <c:strRef>
              <c:f>'SA STATES - Savings'!$C$1005</c:f>
              <c:strCache>
                <c:ptCount val="1"/>
                <c:pt idx="0">
                  <c:v>Baseline Forecast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Savings'!$G$1005:$AA$1005</c:f>
              <c:numCache>
                <c:formatCode>General</c:formatCode>
                <c:ptCount val="21"/>
                <c:pt idx="0">
                  <c:v>350.4627646900543</c:v>
                </c:pt>
                <c:pt idx="1">
                  <c:v>351.5838617373473</c:v>
                </c:pt>
                <c:pt idx="2">
                  <c:v>353.5333781757654</c:v>
                </c:pt>
                <c:pt idx="3">
                  <c:v>350.776351753412</c:v>
                </c:pt>
                <c:pt idx="4">
                  <c:v>351.6767427919341</c:v>
                </c:pt>
                <c:pt idx="5">
                  <c:v>353.2938011629603</c:v>
                </c:pt>
                <c:pt idx="6">
                  <c:v>355.895723926661</c:v>
                </c:pt>
                <c:pt idx="7">
                  <c:v>358.1762806172929</c:v>
                </c:pt>
                <c:pt idx="8">
                  <c:v>361.1378091046623</c:v>
                </c:pt>
                <c:pt idx="9">
                  <c:v>364.4659822503907</c:v>
                </c:pt>
                <c:pt idx="10">
                  <c:v>367.2645524945007</c:v>
                </c:pt>
                <c:pt idx="11">
                  <c:v>368.760502685169</c:v>
                </c:pt>
                <c:pt idx="12">
                  <c:v>371.9627819453027</c:v>
                </c:pt>
                <c:pt idx="13">
                  <c:v>375.5131342337737</c:v>
                </c:pt>
                <c:pt idx="14">
                  <c:v>379.7517448643113</c:v>
                </c:pt>
                <c:pt idx="15">
                  <c:v>382.7036063820207</c:v>
                </c:pt>
                <c:pt idx="16">
                  <c:v>386.1029485291498</c:v>
                </c:pt>
                <c:pt idx="17">
                  <c:v>388.8492656064712</c:v>
                </c:pt>
                <c:pt idx="18">
                  <c:v>391.382813045497</c:v>
                </c:pt>
                <c:pt idx="19">
                  <c:v>391.9743759366602</c:v>
                </c:pt>
                <c:pt idx="20">
                  <c:v>393.3344636064344</c:v>
                </c:pt>
              </c:numCache>
            </c:numRef>
          </c:val>
        </c:ser>
        <c:ser>
          <c:idx val="1"/>
          <c:order val="1"/>
          <c:tx>
            <c:strRef>
              <c:f>'SA STATES - Savings'!$C$1006</c:f>
              <c:strCache>
                <c:ptCount val="1"/>
                <c:pt idx="0">
                  <c:v>Energy Efficiency Scenario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Savings'!$G$1006:$AA$1006</c:f>
              <c:numCache>
                <c:formatCode>General</c:formatCode>
                <c:ptCount val="21"/>
                <c:pt idx="0">
                  <c:v>348.2136938070719</c:v>
                </c:pt>
                <c:pt idx="1">
                  <c:v>347.894647640632</c:v>
                </c:pt>
                <c:pt idx="2">
                  <c:v>348.3963664443839</c:v>
                </c:pt>
                <c:pt idx="3">
                  <c:v>343.9413306615182</c:v>
                </c:pt>
                <c:pt idx="4">
                  <c:v>341.2918341245787</c:v>
                </c:pt>
                <c:pt idx="5">
                  <c:v>337.6275465135707</c:v>
                </c:pt>
                <c:pt idx="6">
                  <c:v>335.0469254990343</c:v>
                </c:pt>
                <c:pt idx="7">
                  <c:v>332.5090242183803</c:v>
                </c:pt>
                <c:pt idx="8">
                  <c:v>331.3130890957053</c:v>
                </c:pt>
                <c:pt idx="9">
                  <c:v>330.5622369642712</c:v>
                </c:pt>
                <c:pt idx="10">
                  <c:v>329.6398418702593</c:v>
                </c:pt>
                <c:pt idx="11">
                  <c:v>327.7220438272699</c:v>
                </c:pt>
                <c:pt idx="12">
                  <c:v>327.3176625614323</c:v>
                </c:pt>
                <c:pt idx="13">
                  <c:v>327.6210386965492</c:v>
                </c:pt>
                <c:pt idx="14">
                  <c:v>329.049032210827</c:v>
                </c:pt>
                <c:pt idx="15">
                  <c:v>329.3049739138393</c:v>
                </c:pt>
                <c:pt idx="16">
                  <c:v>330.5148198341373</c:v>
                </c:pt>
                <c:pt idx="17">
                  <c:v>331.1554444447003</c:v>
                </c:pt>
                <c:pt idx="18">
                  <c:v>332.0611528393907</c:v>
                </c:pt>
                <c:pt idx="19">
                  <c:v>331.3558211279605</c:v>
                </c:pt>
                <c:pt idx="20">
                  <c:v>331.3991960661269</c:v>
                </c:pt>
              </c:numCache>
            </c:numRef>
          </c:val>
        </c:ser>
        <c:marker val="1"/>
        <c:axId val="687877528"/>
        <c:axId val="635040280"/>
      </c:lineChart>
      <c:catAx>
        <c:axId val="687877528"/>
        <c:scaling>
          <c:orientation val="minMax"/>
        </c:scaling>
        <c:axPos val="b"/>
        <c:numFmt formatCode="General" sourceLinked="1"/>
        <c:tickLblPos val="nextTo"/>
        <c:crossAx val="635040280"/>
        <c:crosses val="autoZero"/>
        <c:auto val="1"/>
        <c:lblAlgn val="ctr"/>
        <c:lblOffset val="100"/>
        <c:tickLblSkip val="5"/>
        <c:tickMarkSkip val="5"/>
      </c:catAx>
      <c:valAx>
        <c:axId val="635040280"/>
        <c:scaling>
          <c:orientation val="minMax"/>
          <c:max val="425.0"/>
          <c:min val="275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Consumption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687877528"/>
        <c:crosses val="autoZero"/>
        <c:crossBetween val="between"/>
        <c:majorUnit val="25.0"/>
      </c:valAx>
    </c:plotArea>
    <c:legend>
      <c:legendPos val="b"/>
      <c:layout>
        <c:manualLayout>
          <c:xMode val="edge"/>
          <c:yMode val="edge"/>
          <c:x val="0.0"/>
          <c:y val="0.885069620534722"/>
          <c:w val="1.0"/>
          <c:h val="0.087811735397482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88496732026147"/>
          <c:y val="0.0509259259259259"/>
          <c:w val="0.770420168067221"/>
          <c:h val="0.724841790609523"/>
        </c:manualLayout>
      </c:layout>
      <c:barChart>
        <c:barDir val="col"/>
        <c:grouping val="stacked"/>
        <c:ser>
          <c:idx val="0"/>
          <c:order val="0"/>
          <c:tx>
            <c:strRef>
              <c:f>'SA STATES - Savings'!$D$716</c:f>
              <c:strCache>
                <c:ptCount val="1"/>
                <c:pt idx="0">
                  <c:v>Electricity</c:v>
                </c:pt>
              </c:strCache>
            </c:strRef>
          </c:tx>
          <c:cat>
            <c:numRef>
              <c:f>('SA STATES - Savings'!$Q$4,'SA STATES - Savings'!$AA$4)</c:f>
              <c:numCache>
                <c:formatCode>General</c:formatCode>
                <c:ptCount val="2"/>
                <c:pt idx="0">
                  <c:v>2020.0</c:v>
                </c:pt>
                <c:pt idx="1">
                  <c:v>2030.0</c:v>
                </c:pt>
              </c:numCache>
            </c:numRef>
          </c:cat>
          <c:val>
            <c:numRef>
              <c:f>('SA STATES - Savings'!$R$716,'SA STATES - Savings'!$AB$716)</c:f>
              <c:numCache>
                <c:formatCode>General</c:formatCode>
                <c:ptCount val="2"/>
                <c:pt idx="0">
                  <c:v>32.88826427931817</c:v>
                </c:pt>
                <c:pt idx="1">
                  <c:v>55.151187872162</c:v>
                </c:pt>
              </c:numCache>
            </c:numRef>
          </c:val>
        </c:ser>
        <c:ser>
          <c:idx val="2"/>
          <c:order val="1"/>
          <c:tx>
            <c:strRef>
              <c:f>'SA STATES - Savings'!$D$719</c:f>
              <c:strCache>
                <c:ptCount val="1"/>
                <c:pt idx="0">
                  <c:v>Natural Gas</c:v>
                </c:pt>
              </c:strCache>
            </c:strRef>
          </c:tx>
          <c:val>
            <c:numRef>
              <c:f>('SA STATES - Savings'!$Q$719,'SA STATES - Savings'!$AA$719)</c:f>
              <c:numCache>
                <c:formatCode>General</c:formatCode>
                <c:ptCount val="2"/>
                <c:pt idx="0">
                  <c:v>4.896460274071831</c:v>
                </c:pt>
                <c:pt idx="1">
                  <c:v>7.542899733225188</c:v>
                </c:pt>
              </c:numCache>
            </c:numRef>
          </c:val>
        </c:ser>
        <c:ser>
          <c:idx val="3"/>
          <c:order val="2"/>
          <c:tx>
            <c:strRef>
              <c:f>'SA STATES - Savings'!$D$720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C0504D"/>
            </a:solidFill>
          </c:spPr>
          <c:val>
            <c:numRef>
              <c:f>('SA STATES - Savings'!$Q$721,'SA STATES - Savings'!$AA$721)</c:f>
              <c:numCache>
                <c:formatCode>General</c:formatCode>
                <c:ptCount val="2"/>
                <c:pt idx="0">
                  <c:v>-0.160013929147024</c:v>
                </c:pt>
                <c:pt idx="1">
                  <c:v>-0.758820065084766</c:v>
                </c:pt>
              </c:numCache>
            </c:numRef>
          </c:val>
        </c:ser>
        <c:gapWidth val="50"/>
        <c:overlap val="100"/>
        <c:axId val="686686392"/>
        <c:axId val="635104840"/>
      </c:barChart>
      <c:catAx>
        <c:axId val="686686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5104840"/>
        <c:crosses val="autoZero"/>
        <c:auto val="1"/>
        <c:lblAlgn val="ctr"/>
        <c:lblOffset val="100"/>
      </c:catAx>
      <c:valAx>
        <c:axId val="635104840"/>
        <c:scaling>
          <c:orientation val="minMax"/>
          <c:max val="80.0"/>
          <c:min val="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Total Energy Savings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6686392"/>
        <c:crosses val="autoZero"/>
        <c:crossBetween val="between"/>
        <c:majorUnit val="20.0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218816568047339"/>
          <c:y val="0.0497175141242949"/>
          <c:w val="0.721213250710525"/>
          <c:h val="0.662645825988186"/>
        </c:manualLayout>
      </c:layout>
      <c:lineChart>
        <c:grouping val="standard"/>
        <c:ser>
          <c:idx val="0"/>
          <c:order val="0"/>
          <c:tx>
            <c:strRef>
              <c:f>'SA STATES - Savings'!$C$999</c:f>
              <c:strCache>
                <c:ptCount val="1"/>
                <c:pt idx="0">
                  <c:v>Baseline Forecast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Savings'!$G$999:$AA$999</c:f>
              <c:numCache>
                <c:formatCode>General</c:formatCode>
                <c:ptCount val="21"/>
                <c:pt idx="0">
                  <c:v>273.6842340121739</c:v>
                </c:pt>
                <c:pt idx="1">
                  <c:v>276.2054960921866</c:v>
                </c:pt>
                <c:pt idx="2">
                  <c:v>277.66427220907</c:v>
                </c:pt>
                <c:pt idx="3">
                  <c:v>279.4627309380513</c:v>
                </c:pt>
                <c:pt idx="4">
                  <c:v>282.3984506026752</c:v>
                </c:pt>
                <c:pt idx="5">
                  <c:v>285.8277943790577</c:v>
                </c:pt>
                <c:pt idx="6">
                  <c:v>289.1652691278843</c:v>
                </c:pt>
                <c:pt idx="7">
                  <c:v>292.0602217263693</c:v>
                </c:pt>
                <c:pt idx="8">
                  <c:v>294.9472159595952</c:v>
                </c:pt>
                <c:pt idx="9">
                  <c:v>297.8148597319801</c:v>
                </c:pt>
                <c:pt idx="10">
                  <c:v>300.5310751944986</c:v>
                </c:pt>
                <c:pt idx="11">
                  <c:v>303.2097682766056</c:v>
                </c:pt>
                <c:pt idx="12">
                  <c:v>306.2640385197133</c:v>
                </c:pt>
                <c:pt idx="13">
                  <c:v>309.6902757446651</c:v>
                </c:pt>
                <c:pt idx="14">
                  <c:v>312.8043828056073</c:v>
                </c:pt>
                <c:pt idx="15">
                  <c:v>316.275070516247</c:v>
                </c:pt>
                <c:pt idx="16">
                  <c:v>319.5471769818467</c:v>
                </c:pt>
                <c:pt idx="17">
                  <c:v>322.5486525319037</c:v>
                </c:pt>
                <c:pt idx="18">
                  <c:v>325.0814662819377</c:v>
                </c:pt>
                <c:pt idx="19">
                  <c:v>327.6810057664917</c:v>
                </c:pt>
                <c:pt idx="20">
                  <c:v>330.1980535972916</c:v>
                </c:pt>
              </c:numCache>
            </c:numRef>
          </c:val>
        </c:ser>
        <c:ser>
          <c:idx val="1"/>
          <c:order val="1"/>
          <c:tx>
            <c:strRef>
              <c:f>'SA STATES - Savings'!$C$1000</c:f>
              <c:strCache>
                <c:ptCount val="1"/>
                <c:pt idx="0">
                  <c:v>Energy Efficiency Scenario</c:v>
                </c:pt>
              </c:strCache>
            </c:strRef>
          </c:tx>
          <c:marker>
            <c:symbol val="none"/>
          </c:marker>
          <c:cat>
            <c:numRef>
              <c:f>'SA STATES - Savings'!$G$4:$AA$4</c:f>
              <c:numCache>
                <c:formatCode>General</c:formatCode>
                <c:ptCount val="21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  <c:pt idx="5">
                  <c:v>2015.0</c:v>
                </c:pt>
                <c:pt idx="6">
                  <c:v>2016.0</c:v>
                </c:pt>
                <c:pt idx="7">
                  <c:v>2017.0</c:v>
                </c:pt>
                <c:pt idx="8">
                  <c:v>2018.0</c:v>
                </c:pt>
                <c:pt idx="9">
                  <c:v>2019.0</c:v>
                </c:pt>
                <c:pt idx="10">
                  <c:v>2020.0</c:v>
                </c:pt>
                <c:pt idx="11">
                  <c:v>2021.0</c:v>
                </c:pt>
                <c:pt idx="12">
                  <c:v>2022.0</c:v>
                </c:pt>
                <c:pt idx="13">
                  <c:v>2023.0</c:v>
                </c:pt>
                <c:pt idx="14">
                  <c:v>2024.0</c:v>
                </c:pt>
                <c:pt idx="15">
                  <c:v>2025.0</c:v>
                </c:pt>
                <c:pt idx="16">
                  <c:v>2026.0</c:v>
                </c:pt>
                <c:pt idx="17">
                  <c:v>2027.0</c:v>
                </c:pt>
                <c:pt idx="18">
                  <c:v>2028.0</c:v>
                </c:pt>
                <c:pt idx="19">
                  <c:v>2029.0</c:v>
                </c:pt>
                <c:pt idx="20">
                  <c:v>2030.0</c:v>
                </c:pt>
              </c:numCache>
            </c:numRef>
          </c:cat>
          <c:val>
            <c:numRef>
              <c:f>'SA STATES - Savings'!$G$1000:$AA$1000</c:f>
              <c:numCache>
                <c:formatCode>General</c:formatCode>
                <c:ptCount val="21"/>
                <c:pt idx="0">
                  <c:v>267.4775837324226</c:v>
                </c:pt>
                <c:pt idx="1">
                  <c:v>266.7528528059597</c:v>
                </c:pt>
                <c:pt idx="2">
                  <c:v>264.9993270860016</c:v>
                </c:pt>
                <c:pt idx="3">
                  <c:v>263.7662752584412</c:v>
                </c:pt>
                <c:pt idx="4">
                  <c:v>263.2673715759767</c:v>
                </c:pt>
                <c:pt idx="5">
                  <c:v>262.3468937878203</c:v>
                </c:pt>
                <c:pt idx="6">
                  <c:v>261.5367172800842</c:v>
                </c:pt>
                <c:pt idx="7">
                  <c:v>260.756780210125</c:v>
                </c:pt>
                <c:pt idx="8">
                  <c:v>260.296557827636</c:v>
                </c:pt>
                <c:pt idx="9">
                  <c:v>260.071848106317</c:v>
                </c:pt>
                <c:pt idx="10">
                  <c:v>259.678162771926</c:v>
                </c:pt>
                <c:pt idx="11">
                  <c:v>259.5663044761692</c:v>
                </c:pt>
                <c:pt idx="12">
                  <c:v>259.4546679084633</c:v>
                </c:pt>
                <c:pt idx="13">
                  <c:v>259.9058915971185</c:v>
                </c:pt>
                <c:pt idx="14">
                  <c:v>260.0993771119577</c:v>
                </c:pt>
                <c:pt idx="15">
                  <c:v>260.4940671881527</c:v>
                </c:pt>
                <c:pt idx="16">
                  <c:v>260.9420882294833</c:v>
                </c:pt>
                <c:pt idx="17">
                  <c:v>261.2237815005786</c:v>
                </c:pt>
                <c:pt idx="18">
                  <c:v>261.417006118939</c:v>
                </c:pt>
                <c:pt idx="19">
                  <c:v>261.3867733191836</c:v>
                </c:pt>
                <c:pt idx="20">
                  <c:v>261.1241438261045</c:v>
                </c:pt>
              </c:numCache>
            </c:numRef>
          </c:val>
        </c:ser>
        <c:marker val="1"/>
        <c:axId val="686990776"/>
        <c:axId val="634995784"/>
      </c:lineChart>
      <c:catAx>
        <c:axId val="686990776"/>
        <c:scaling>
          <c:orientation val="minMax"/>
        </c:scaling>
        <c:axPos val="b"/>
        <c:numFmt formatCode="General" sourceLinked="1"/>
        <c:tickLblPos val="nextTo"/>
        <c:crossAx val="634995784"/>
        <c:crosses val="autoZero"/>
        <c:auto val="1"/>
        <c:lblAlgn val="ctr"/>
        <c:lblOffset val="100"/>
        <c:tickLblSkip val="5"/>
        <c:tickMarkSkip val="5"/>
      </c:catAx>
      <c:valAx>
        <c:axId val="634995784"/>
        <c:scaling>
          <c:orientation val="minMax"/>
          <c:max val="350.0"/>
          <c:min val="20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Consumption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686990776"/>
        <c:crosses val="autoZero"/>
        <c:crossBetween val="between"/>
        <c:majorUnit val="25.0"/>
      </c:valAx>
    </c:plotArea>
    <c:legend>
      <c:legendPos val="b"/>
      <c:layout>
        <c:manualLayout>
          <c:xMode val="edge"/>
          <c:yMode val="edge"/>
          <c:x val="0.0"/>
          <c:y val="0.871510298500827"/>
          <c:w val="1.0"/>
          <c:h val="0.1013710574313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185722171113155"/>
          <c:y val="0.055415617128464"/>
          <c:w val="0.773799448022092"/>
          <c:h val="0.684125305232368"/>
        </c:manualLayout>
      </c:layout>
      <c:barChart>
        <c:barDir val="col"/>
        <c:grouping val="stacked"/>
        <c:ser>
          <c:idx val="0"/>
          <c:order val="0"/>
          <c:tx>
            <c:strRef>
              <c:f>'SA STATES - Savings'!$D$676</c:f>
              <c:strCache>
                <c:ptCount val="1"/>
                <c:pt idx="0">
                  <c:v>Electricity</c:v>
                </c:pt>
              </c:strCache>
            </c:strRef>
          </c:tx>
          <c:cat>
            <c:numRef>
              <c:f>('SA STATES - Savings'!$Q$4,'SA STATES - Savings'!$AA$4)</c:f>
              <c:numCache>
                <c:formatCode>General</c:formatCode>
                <c:ptCount val="2"/>
                <c:pt idx="0">
                  <c:v>2020.0</c:v>
                </c:pt>
                <c:pt idx="1">
                  <c:v>2030.0</c:v>
                </c:pt>
              </c:numCache>
            </c:numRef>
          </c:cat>
          <c:val>
            <c:numRef>
              <c:f>('SA STATES - Savings'!$R$676,'SA STATES - Savings'!$AB$676)</c:f>
              <c:numCache>
                <c:formatCode>General</c:formatCode>
                <c:ptCount val="2"/>
                <c:pt idx="0">
                  <c:v>38.66438828432067</c:v>
                </c:pt>
                <c:pt idx="1">
                  <c:v>65.67575658761181</c:v>
                </c:pt>
              </c:numCache>
            </c:numRef>
          </c:val>
        </c:ser>
        <c:ser>
          <c:idx val="2"/>
          <c:order val="1"/>
          <c:tx>
            <c:strRef>
              <c:f>'SA STATES - Savings'!$D$678</c:f>
              <c:strCache>
                <c:ptCount val="1"/>
                <c:pt idx="0">
                  <c:v>Natural Gas</c:v>
                </c:pt>
              </c:strCache>
            </c:strRef>
          </c:tx>
          <c:val>
            <c:numRef>
              <c:f>('SA STATES - Savings'!$Q$678,'SA STATES - Savings'!$AA$678)</c:f>
              <c:numCache>
                <c:formatCode>General</c:formatCode>
                <c:ptCount val="2"/>
                <c:pt idx="0">
                  <c:v>1.879328781992637</c:v>
                </c:pt>
                <c:pt idx="1">
                  <c:v>3.050495875208873</c:v>
                </c:pt>
              </c:numCache>
            </c:numRef>
          </c:val>
        </c:ser>
        <c:ser>
          <c:idx val="3"/>
          <c:order val="2"/>
          <c:tx>
            <c:strRef>
              <c:f>'SA STATES - Savings'!$D$679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rgbClr val="C0504D"/>
            </a:solidFill>
          </c:spPr>
          <c:val>
            <c:numRef>
              <c:f>('SA STATES - Savings'!$Q$680,'SA STATES - Savings'!$AA$680)</c:f>
              <c:numCache>
                <c:formatCode>General</c:formatCode>
                <c:ptCount val="2"/>
                <c:pt idx="0">
                  <c:v>0.309195356259277</c:v>
                </c:pt>
                <c:pt idx="1">
                  <c:v>0.347657308370081</c:v>
                </c:pt>
              </c:numCache>
            </c:numRef>
          </c:val>
        </c:ser>
        <c:gapWidth val="50"/>
        <c:overlap val="100"/>
        <c:axId val="687969624"/>
        <c:axId val="532539512"/>
      </c:barChart>
      <c:catAx>
        <c:axId val="6879696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32539512"/>
        <c:crosses val="autoZero"/>
        <c:auto val="1"/>
        <c:lblAlgn val="ctr"/>
        <c:lblOffset val="100"/>
      </c:catAx>
      <c:valAx>
        <c:axId val="532539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Total Energy Savings (TBtu)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79696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Relationship Id="rId2" Type="http://schemas.openxmlformats.org/officeDocument/2006/relationships/image" Target="../media/image5.emf"/><Relationship Id="rId3" Type="http://schemas.openxmlformats.org/officeDocument/2006/relationships/image" Target="../media/image6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0.15622</cdr:x>
      <cdr:y>0</cdr:y>
    </cdr:from>
    <cdr:to>
      <cdr:x>1</cdr:x>
      <cdr:y>0.82918</cdr:y>
    </cdr:to>
    <cdr:pic>
      <cdr:nvPicPr>
        <cdr:cNvPr id="2" name="Picture 1" descr="South Carolina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28834" y="0"/>
          <a:ext cx="4476591" cy="221932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0.49297</cdr:x>
      <cdr:y>0.58586</cdr:y>
    </cdr:from>
    <cdr:to>
      <cdr:x>0.60839</cdr:x>
      <cdr:y>0.75116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85863" y="1657350"/>
          <a:ext cx="628837" cy="46762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0.19617</cdr:x>
      <cdr:y>0.57309</cdr:y>
    </cdr:from>
    <cdr:to>
      <cdr:x>0.33151</cdr:x>
      <cdr:y>0.74788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068803" y="1664896"/>
          <a:ext cx="737372" cy="50778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0.78147</cdr:x>
      <cdr:y>0.62679</cdr:y>
    </cdr:from>
    <cdr:to>
      <cdr:x>0.89161</cdr:x>
      <cdr:y>0.77802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257675" y="1773140"/>
          <a:ext cx="600076" cy="42782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0.16958</cdr:x>
      <cdr:y>0.80673</cdr:y>
    </cdr:from>
    <cdr:to>
      <cdr:x>0.36189</cdr:x>
      <cdr:y>0.89042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923925" y="2282192"/>
          <a:ext cx="1047749" cy="2367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Commercial</a:t>
          </a:r>
        </a:p>
      </cdr:txBody>
    </cdr:sp>
  </cdr:relSizeAnchor>
  <cdr:relSizeAnchor xmlns:cdr="http://schemas.openxmlformats.org/drawingml/2006/chartDrawing">
    <cdr:from>
      <cdr:x>0.73601</cdr:x>
      <cdr:y>0.80691</cdr:y>
    </cdr:from>
    <cdr:to>
      <cdr:x>0.92832</cdr:x>
      <cdr:y>0.89059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010025" y="2282690"/>
          <a:ext cx="1047749" cy="2367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Residential</a:t>
          </a:r>
        </a:p>
      </cdr:txBody>
    </cdr:sp>
  </cdr:relSizeAnchor>
  <cdr:relSizeAnchor xmlns:cdr="http://schemas.openxmlformats.org/drawingml/2006/chartDrawing">
    <cdr:from>
      <cdr:x>0.4528</cdr:x>
      <cdr:y>0.81028</cdr:y>
    </cdr:from>
    <cdr:to>
      <cdr:x>0.6451</cdr:x>
      <cdr:y>0.89396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2466975" y="2292215"/>
          <a:ext cx="1047749" cy="2367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Industrial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0.81138</cdr:x>
      <cdr:y>0.08475</cdr:y>
    </cdr:from>
    <cdr:to>
      <cdr:x>0.99907</cdr:x>
      <cdr:y>0.20542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81276" y="238137"/>
          <a:ext cx="597116" cy="339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16%</a:t>
          </a:r>
        </a:p>
      </cdr:txBody>
    </cdr:sp>
  </cdr:relSizeAnchor>
  <cdr:relSizeAnchor xmlns:cdr="http://schemas.openxmlformats.org/drawingml/2006/chartDrawing">
    <cdr:from>
      <cdr:x>0.48802</cdr:x>
      <cdr:y>0.2</cdr:y>
    </cdr:from>
    <cdr:to>
      <cdr:x>0.69769</cdr:x>
      <cdr:y>0.33927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52574" y="561976"/>
          <a:ext cx="667021" cy="391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10%</a:t>
          </a:r>
        </a:p>
      </cdr:txBody>
    </cdr:sp>
  </cdr:relSizeAnchor>
  <cdr:relSizeAnchor xmlns:cdr="http://schemas.openxmlformats.org/drawingml/2006/chartDrawing">
    <cdr:from>
      <cdr:x>0.91592</cdr:x>
      <cdr:y>0.20706</cdr:y>
    </cdr:from>
    <cdr:to>
      <cdr:x>0.91642</cdr:x>
      <cdr:y>0.49859</cdr:y>
    </cdr:to>
    <cdr:sp macro="" textlink="">
      <cdr:nvSpPr>
        <cdr:cNvPr id="5" name="Straight Arrow Connector 4"/>
        <cdr:cNvSpPr/>
      </cdr:nvSpPr>
      <cdr:spPr>
        <a:xfrm xmlns:a="http://schemas.openxmlformats.org/drawingml/2006/main" rot="5400000">
          <a:off x="2913856" y="581819"/>
          <a:ext cx="1589" cy="81915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0.58658</cdr:x>
      <cdr:y>0.3291</cdr:y>
    </cdr:from>
    <cdr:to>
      <cdr:x>0.58708</cdr:x>
      <cdr:y>0.51554</cdr:y>
    </cdr:to>
    <cdr:sp macro="" textlink="">
      <cdr:nvSpPr>
        <cdr:cNvPr id="7" name="Straight Arrow Connector 6"/>
        <cdr:cNvSpPr/>
      </cdr:nvSpPr>
      <cdr:spPr>
        <a:xfrm xmlns:a="http://schemas.openxmlformats.org/drawingml/2006/main" rot="5400000">
          <a:off x="1866106" y="924718"/>
          <a:ext cx="1589" cy="52387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0.43211</cdr:x>
      <cdr:y>0.15637</cdr:y>
    </cdr:from>
    <cdr:to>
      <cdr:x>0.66703</cdr:x>
      <cdr:y>0.28755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22559" y="299382"/>
          <a:ext cx="719020" cy="251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14%</a:t>
          </a:r>
        </a:p>
      </cdr:txBody>
    </cdr:sp>
  </cdr:relSizeAnchor>
  <cdr:relSizeAnchor xmlns:cdr="http://schemas.openxmlformats.org/drawingml/2006/chartDrawing">
    <cdr:from>
      <cdr:x>0.81005</cdr:x>
      <cdr:y>0.03773</cdr:y>
    </cdr:from>
    <cdr:to>
      <cdr:x>1</cdr:x>
      <cdr:y>0.16891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79316" y="72234"/>
          <a:ext cx="581384" cy="251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0.55679</cdr:x>
      <cdr:y>0.27405</cdr:y>
    </cdr:from>
    <cdr:to>
      <cdr:x>0.55731</cdr:x>
      <cdr:y>0.4432</cdr:y>
    </cdr:to>
    <cdr:sp macro="" textlink="">
      <cdr:nvSpPr>
        <cdr:cNvPr id="8" name="Straight Arrow Connector 7"/>
        <cdr:cNvSpPr/>
      </cdr:nvSpPr>
      <cdr:spPr>
        <a:xfrm xmlns:a="http://schemas.openxmlformats.org/drawingml/2006/main" rot="5400000">
          <a:off x="1704181" y="524669"/>
          <a:ext cx="1588" cy="32385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0.90249</cdr:x>
      <cdr:y>0.14925</cdr:y>
    </cdr:from>
    <cdr:to>
      <cdr:x>0.9056</cdr:x>
      <cdr:y>0.43284</cdr:y>
    </cdr:to>
    <cdr:sp macro="" textlink="">
      <cdr:nvSpPr>
        <cdr:cNvPr id="14" name="Straight Arrow Connector 13"/>
        <cdr:cNvSpPr/>
      </cdr:nvSpPr>
      <cdr:spPr>
        <a:xfrm xmlns:a="http://schemas.openxmlformats.org/drawingml/2006/main" rot="16200000" flipH="1">
          <a:off x="2762250" y="285748"/>
          <a:ext cx="9525" cy="54292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0.46442</cdr:x>
      <cdr:y>0.19661</cdr:y>
    </cdr:from>
    <cdr:to>
      <cdr:x>0.67753</cdr:x>
      <cdr:y>0.31557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533525" y="552450"/>
          <a:ext cx="703678" cy="3342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6%</a:t>
          </a:r>
        </a:p>
      </cdr:txBody>
    </cdr:sp>
  </cdr:relSizeAnchor>
  <cdr:relSizeAnchor xmlns:cdr="http://schemas.openxmlformats.org/drawingml/2006/chartDrawing">
    <cdr:from>
      <cdr:x>0.85088</cdr:x>
      <cdr:y>0.2983</cdr:y>
    </cdr:from>
    <cdr:to>
      <cdr:x>1</cdr:x>
      <cdr:y>0.41221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000375" y="838190"/>
          <a:ext cx="492392" cy="320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00">
              <a:latin typeface="Times New Roman" pitchFamily="18" charset="0"/>
              <a:cs typeface="Times New Roman" pitchFamily="18" charset="0"/>
            </a:rPr>
            <a:t>7%</a:t>
          </a:r>
        </a:p>
      </cdr:txBody>
    </cdr:sp>
  </cdr:relSizeAnchor>
  <cdr:relSizeAnchor xmlns:cdr="http://schemas.openxmlformats.org/drawingml/2006/chartDrawing">
    <cdr:from>
      <cdr:x>0.54853</cdr:x>
      <cdr:y>0.34002</cdr:y>
    </cdr:from>
    <cdr:to>
      <cdr:x>0.54903</cdr:x>
      <cdr:y>0.52398</cdr:y>
    </cdr:to>
    <cdr:sp macro="" textlink="">
      <cdr:nvSpPr>
        <cdr:cNvPr id="7" name="Straight Arrow Connector 6"/>
        <cdr:cNvSpPr/>
      </cdr:nvSpPr>
      <cdr:spPr>
        <a:xfrm xmlns:a="http://schemas.openxmlformats.org/drawingml/2006/main" rot="5400000">
          <a:off x="1713706" y="686593"/>
          <a:ext cx="1589" cy="37147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0.90523</cdr:x>
      <cdr:y>0.45322</cdr:y>
    </cdr:from>
    <cdr:to>
      <cdr:x>0.90574</cdr:x>
      <cdr:y>0.69851</cdr:y>
    </cdr:to>
    <cdr:sp macro="" textlink="">
      <cdr:nvSpPr>
        <cdr:cNvPr id="9" name="Straight Arrow Connector 8"/>
        <cdr:cNvSpPr/>
      </cdr:nvSpPr>
      <cdr:spPr>
        <a:xfrm xmlns:a="http://schemas.openxmlformats.org/drawingml/2006/main" rot="5400000">
          <a:off x="2828131" y="915194"/>
          <a:ext cx="1588" cy="49530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E228-27F6-3749-817E-D8BC6EB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12968</Characters>
  <Application>Microsoft Macintosh Word</Application>
  <DocSecurity>0</DocSecurity>
  <Lines>108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NAME</vt:lpstr>
    </vt:vector>
  </TitlesOfParts>
  <Company>BellSouth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NAME</dc:title>
  <dc:creator>Joy</dc:creator>
  <cp:lastModifiedBy>Marilyn Brown</cp:lastModifiedBy>
  <cp:revision>2</cp:revision>
  <cp:lastPrinted>2010-04-12T02:04:00Z</cp:lastPrinted>
  <dcterms:created xsi:type="dcterms:W3CDTF">2010-04-13T13:28:00Z</dcterms:created>
  <dcterms:modified xsi:type="dcterms:W3CDTF">2010-04-13T13:28:00Z</dcterms:modified>
</cp:coreProperties>
</file>