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821F55" w14:textId="7CFA8E55" w:rsidR="001E56D8" w:rsidRPr="0070727F" w:rsidRDefault="001E56D8">
      <w:pPr>
        <w:spacing w:line="276" w:lineRule="auto"/>
        <w:jc w:val="center"/>
        <w:rPr>
          <w:sz w:val="48"/>
          <w:szCs w:val="48"/>
        </w:rPr>
      </w:pPr>
      <w:bookmarkStart w:id="0" w:name="_GoBack"/>
      <w:bookmarkEnd w:id="0"/>
    </w:p>
    <w:p w14:paraId="4C35D700" w14:textId="77777777" w:rsidR="001E56D8" w:rsidRPr="0070727F" w:rsidRDefault="001E56D8">
      <w:pPr>
        <w:spacing w:line="276" w:lineRule="auto"/>
        <w:jc w:val="center"/>
        <w:rPr>
          <w:sz w:val="48"/>
          <w:szCs w:val="48"/>
        </w:rPr>
      </w:pPr>
    </w:p>
    <w:p w14:paraId="4886076C" w14:textId="77777777" w:rsidR="001E56D8" w:rsidRDefault="001E56D8">
      <w:pPr>
        <w:spacing w:line="276" w:lineRule="auto"/>
        <w:jc w:val="center"/>
      </w:pPr>
      <w:r>
        <w:rPr>
          <w:sz w:val="72"/>
          <w:szCs w:val="72"/>
        </w:rPr>
        <w:t>Manual for GT-DSM</w:t>
      </w:r>
    </w:p>
    <w:p w14:paraId="58D78DB4" w14:textId="2C2B2892" w:rsidR="002048F6" w:rsidRDefault="00AB1470">
      <w:pPr>
        <w:spacing w:line="276" w:lineRule="auto"/>
        <w:jc w:val="center"/>
      </w:pPr>
      <w:r>
        <w:t>December</w:t>
      </w:r>
      <w:r w:rsidR="004944DF">
        <w:t xml:space="preserve"> </w:t>
      </w:r>
      <w:proofErr w:type="gramStart"/>
      <w:r>
        <w:t>24</w:t>
      </w:r>
      <w:r w:rsidR="004944DF" w:rsidRPr="004944DF">
        <w:rPr>
          <w:vertAlign w:val="superscript"/>
        </w:rPr>
        <w:t>th</w:t>
      </w:r>
      <w:r w:rsidR="004944DF">
        <w:t xml:space="preserve"> ,</w:t>
      </w:r>
      <w:proofErr w:type="gramEnd"/>
      <w:r w:rsidR="004944DF">
        <w:t xml:space="preserve"> 2014</w:t>
      </w:r>
    </w:p>
    <w:p w14:paraId="60641991" w14:textId="77777777" w:rsidR="002048F6" w:rsidRDefault="002048F6">
      <w:pPr>
        <w:spacing w:line="276" w:lineRule="auto"/>
        <w:jc w:val="center"/>
      </w:pPr>
    </w:p>
    <w:p w14:paraId="7B35AE15" w14:textId="77777777" w:rsidR="00805D60" w:rsidRDefault="00136402">
      <w:pPr>
        <w:spacing w:line="276" w:lineRule="auto"/>
        <w:jc w:val="center"/>
      </w:pPr>
      <w:r>
        <w:t>By</w:t>
      </w:r>
      <w:r w:rsidR="00805D60">
        <w:t>:</w:t>
      </w:r>
    </w:p>
    <w:p w14:paraId="556456BC" w14:textId="5D1898E4" w:rsidR="00805D60" w:rsidRDefault="00805D60">
      <w:pPr>
        <w:spacing w:line="276" w:lineRule="auto"/>
        <w:jc w:val="center"/>
      </w:pPr>
      <w:r>
        <w:t>Benjamin Staver</w:t>
      </w:r>
      <w:r>
        <w:rPr>
          <w:rStyle w:val="FootnoteReference"/>
        </w:rPr>
        <w:footnoteReference w:id="1"/>
      </w:r>
    </w:p>
    <w:p w14:paraId="056054EC" w14:textId="13AE5326" w:rsidR="00805D60" w:rsidRDefault="00805D60">
      <w:pPr>
        <w:spacing w:line="276" w:lineRule="auto"/>
        <w:jc w:val="center"/>
      </w:pPr>
      <w:r>
        <w:t>Alexander Smith</w:t>
      </w:r>
      <w:r>
        <w:rPr>
          <w:rStyle w:val="FootnoteReference"/>
        </w:rPr>
        <w:footnoteReference w:id="2"/>
      </w:r>
    </w:p>
    <w:p w14:paraId="5BA6A76B" w14:textId="21B896FF" w:rsidR="00805D60" w:rsidRDefault="00805D60">
      <w:pPr>
        <w:spacing w:line="276" w:lineRule="auto"/>
        <w:jc w:val="center"/>
      </w:pPr>
      <w:r>
        <w:t>John Sibley</w:t>
      </w:r>
      <w:r>
        <w:rPr>
          <w:rStyle w:val="FootnoteReference"/>
        </w:rPr>
        <w:footnoteReference w:id="3"/>
      </w:r>
    </w:p>
    <w:p w14:paraId="23718ADD" w14:textId="77777777" w:rsidR="00805D60" w:rsidRDefault="00805D60">
      <w:pPr>
        <w:spacing w:line="276" w:lineRule="auto"/>
        <w:jc w:val="center"/>
      </w:pPr>
      <w:r>
        <w:t>Marily</w:t>
      </w:r>
      <w:r w:rsidR="008E49B1">
        <w:t>n</w:t>
      </w:r>
      <w:r>
        <w:t xml:space="preserve"> Brown</w:t>
      </w:r>
      <w:r>
        <w:rPr>
          <w:rStyle w:val="FootnoteReference"/>
        </w:rPr>
        <w:footnoteReference w:id="4"/>
      </w:r>
    </w:p>
    <w:p w14:paraId="55E915B4" w14:textId="77777777" w:rsidR="00805D60" w:rsidRDefault="00805D60">
      <w:pPr>
        <w:spacing w:line="276" w:lineRule="auto"/>
        <w:jc w:val="center"/>
      </w:pPr>
    </w:p>
    <w:p w14:paraId="69F276ED" w14:textId="536399E0" w:rsidR="00805D60" w:rsidRDefault="002B7FB8" w:rsidP="00EF46B8">
      <w:pPr>
        <w:spacing w:line="276" w:lineRule="auto"/>
        <w:jc w:val="center"/>
      </w:pPr>
      <w:r>
        <w:rPr>
          <w:noProof/>
          <w:lang w:eastAsia="en-US"/>
        </w:rPr>
        <w:drawing>
          <wp:inline distT="0" distB="0" distL="0" distR="0" wp14:anchorId="519F8B0A" wp14:editId="70A5D70C">
            <wp:extent cx="1778000" cy="952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footer.png"/>
                    <pic:cNvPicPr/>
                  </pic:nvPicPr>
                  <pic:blipFill>
                    <a:blip r:embed="rId8">
                      <a:extLst>
                        <a:ext uri="{28A0092B-C50C-407E-A947-70E740481C1C}">
                          <a14:useLocalDpi xmlns:a14="http://schemas.microsoft.com/office/drawing/2010/main" val="0"/>
                        </a:ext>
                      </a:extLst>
                    </a:blip>
                    <a:stretch>
                      <a:fillRect/>
                    </a:stretch>
                  </pic:blipFill>
                  <pic:spPr>
                    <a:xfrm>
                      <a:off x="0" y="0"/>
                      <a:ext cx="1778000" cy="952500"/>
                    </a:xfrm>
                    <a:prstGeom prst="rect">
                      <a:avLst/>
                    </a:prstGeom>
                  </pic:spPr>
                </pic:pic>
              </a:graphicData>
            </a:graphic>
          </wp:inline>
        </w:drawing>
      </w:r>
      <w:r w:rsidR="003360A8">
        <w:tab/>
      </w:r>
      <w:r w:rsidR="003360A8">
        <w:tab/>
      </w:r>
      <w:r w:rsidR="00A76890">
        <w:rPr>
          <w:noProof/>
          <w:lang w:eastAsia="en-US"/>
        </w:rPr>
        <w:drawing>
          <wp:inline distT="0" distB="0" distL="0" distR="0" wp14:anchorId="560C57E4" wp14:editId="3294B76C">
            <wp:extent cx="2336165" cy="514985"/>
            <wp:effectExtent l="0" t="0" r="6985"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165" cy="514985"/>
                    </a:xfrm>
                    <a:prstGeom prst="rect">
                      <a:avLst/>
                    </a:prstGeom>
                    <a:noFill/>
                    <a:ln>
                      <a:noFill/>
                    </a:ln>
                    <a:effectLst/>
                  </pic:spPr>
                </pic:pic>
              </a:graphicData>
            </a:graphic>
          </wp:inline>
        </w:drawing>
      </w:r>
    </w:p>
    <w:p w14:paraId="15C94874" w14:textId="77777777" w:rsidR="00805D60" w:rsidRDefault="00A57276" w:rsidP="00EF46B8">
      <w:pPr>
        <w:spacing w:line="276" w:lineRule="auto"/>
        <w:jc w:val="center"/>
      </w:pPr>
      <w:hyperlink r:id="rId10" w:history="1">
        <w:r w:rsidR="003360A8">
          <w:rPr>
            <w:rStyle w:val="Hyperlink"/>
          </w:rPr>
          <w:t>http://www.cepl.gatech.edu</w:t>
        </w:r>
      </w:hyperlink>
      <w:r w:rsidR="003360A8">
        <w:tab/>
      </w:r>
      <w:r w:rsidR="003360A8">
        <w:tab/>
      </w:r>
      <w:hyperlink r:id="rId11" w:history="1">
        <w:r w:rsidR="00805D60">
          <w:rPr>
            <w:rStyle w:val="Hyperlink"/>
          </w:rPr>
          <w:t>http://www.southface.org/</w:t>
        </w:r>
      </w:hyperlink>
    </w:p>
    <w:p w14:paraId="5A13E00D" w14:textId="77777777" w:rsidR="003360A8" w:rsidRDefault="003360A8" w:rsidP="00EF46B8">
      <w:pPr>
        <w:spacing w:line="276" w:lineRule="auto"/>
        <w:jc w:val="center"/>
      </w:pPr>
    </w:p>
    <w:p w14:paraId="5A4FAABB" w14:textId="77777777" w:rsidR="0070727F" w:rsidRDefault="0070727F">
      <w:pPr>
        <w:spacing w:line="276" w:lineRule="auto"/>
        <w:jc w:val="center"/>
      </w:pPr>
      <w:r>
        <w:rPr>
          <w:noProof/>
          <w:lang w:eastAsia="en-US"/>
        </w:rPr>
        <w:drawing>
          <wp:inline distT="0" distB="0" distL="0" distR="0" wp14:anchorId="7288F2C7" wp14:editId="0AD6A772">
            <wp:extent cx="11239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logo.JPG"/>
                    <pic:cNvPicPr/>
                  </pic:nvPicPr>
                  <pic:blipFill>
                    <a:blip r:embed="rId12">
                      <a:extLst>
                        <a:ext uri="{28A0092B-C50C-407E-A947-70E740481C1C}">
                          <a14:useLocalDpi xmlns:a14="http://schemas.microsoft.com/office/drawing/2010/main" val="0"/>
                        </a:ext>
                      </a:extLst>
                    </a:blip>
                    <a:stretch>
                      <a:fillRect/>
                    </a:stretch>
                  </pic:blipFill>
                  <pic:spPr>
                    <a:xfrm>
                      <a:off x="0" y="0"/>
                      <a:ext cx="1123950" cy="1152525"/>
                    </a:xfrm>
                    <a:prstGeom prst="rect">
                      <a:avLst/>
                    </a:prstGeom>
                  </pic:spPr>
                </pic:pic>
              </a:graphicData>
            </a:graphic>
          </wp:inline>
        </w:drawing>
      </w:r>
    </w:p>
    <w:p w14:paraId="35061F9B" w14:textId="77777777" w:rsidR="0070727F" w:rsidRDefault="0070727F">
      <w:pPr>
        <w:spacing w:line="276" w:lineRule="auto"/>
        <w:jc w:val="center"/>
      </w:pPr>
    </w:p>
    <w:p w14:paraId="46F75FC4" w14:textId="77777777" w:rsidR="0070727F" w:rsidRDefault="0070727F">
      <w:pPr>
        <w:spacing w:line="276" w:lineRule="auto"/>
        <w:jc w:val="center"/>
      </w:pPr>
    </w:p>
    <w:p w14:paraId="765A9922" w14:textId="77777777" w:rsidR="0070727F" w:rsidRDefault="0070727F">
      <w:pPr>
        <w:spacing w:line="276" w:lineRule="auto"/>
        <w:jc w:val="center"/>
      </w:pPr>
    </w:p>
    <w:p w14:paraId="64760BE1" w14:textId="77777777" w:rsidR="0070727F" w:rsidRDefault="0070727F">
      <w:pPr>
        <w:spacing w:line="276" w:lineRule="auto"/>
        <w:jc w:val="center"/>
      </w:pPr>
    </w:p>
    <w:p w14:paraId="503AFEF8" w14:textId="77777777" w:rsidR="003C7F6D" w:rsidRDefault="003C7F6D">
      <w:pPr>
        <w:spacing w:line="276" w:lineRule="auto"/>
        <w:jc w:val="center"/>
      </w:pPr>
    </w:p>
    <w:p w14:paraId="02543FF9" w14:textId="77777777" w:rsidR="003C7F6D" w:rsidRDefault="003C7F6D">
      <w:pPr>
        <w:spacing w:line="276" w:lineRule="auto"/>
        <w:jc w:val="center"/>
        <w:rPr>
          <w:sz w:val="20"/>
          <w:szCs w:val="20"/>
        </w:rPr>
      </w:pPr>
    </w:p>
    <w:p w14:paraId="38825792" w14:textId="6AD2915D" w:rsidR="00805D60" w:rsidRPr="0070727F" w:rsidRDefault="0070727F">
      <w:pPr>
        <w:spacing w:line="276" w:lineRule="auto"/>
        <w:jc w:val="center"/>
        <w:rPr>
          <w:sz w:val="20"/>
          <w:szCs w:val="20"/>
        </w:rPr>
      </w:pPr>
      <w:r w:rsidRPr="0070727F">
        <w:rPr>
          <w:sz w:val="20"/>
          <w:szCs w:val="20"/>
        </w:rPr>
        <w:t>Copyright (C) 2014 Georgia Tech Research Corporation</w:t>
      </w:r>
      <w:r w:rsidRPr="0070727F" w:rsidDel="0070727F">
        <w:rPr>
          <w:sz w:val="20"/>
          <w:szCs w:val="20"/>
        </w:rPr>
        <w:t xml:space="preserve"> </w:t>
      </w:r>
    </w:p>
    <w:p w14:paraId="1C2AF641" w14:textId="77777777" w:rsidR="001E56D8" w:rsidRDefault="001E56D8">
      <w:pPr>
        <w:pStyle w:val="ContentsHeading"/>
        <w:pageBreakBefore/>
        <w:sectPr w:rsidR="001E56D8" w:rsidSect="002B7FB8">
          <w:headerReference w:type="even" r:id="rId13"/>
          <w:headerReference w:type="default" r:id="rId14"/>
          <w:footerReference w:type="even" r:id="rId15"/>
          <w:footerReference w:type="default" r:id="rId16"/>
          <w:pgSz w:w="12240" w:h="15840"/>
          <w:pgMar w:top="1440" w:right="1800" w:bottom="1440" w:left="1800" w:header="720" w:footer="720" w:gutter="0"/>
          <w:pgNumType w:start="0"/>
          <w:cols w:space="720"/>
          <w:titlePg/>
          <w:docGrid w:linePitch="600" w:charSpace="32768"/>
        </w:sectPr>
      </w:pPr>
    </w:p>
    <w:p w14:paraId="3735DEAD" w14:textId="77777777" w:rsidR="00805D60" w:rsidRDefault="00805D60" w:rsidP="00AB1470">
      <w:pPr>
        <w:pStyle w:val="Heading1"/>
        <w:numPr>
          <w:ilvl w:val="0"/>
          <w:numId w:val="0"/>
        </w:numPr>
        <w:ind w:left="432"/>
      </w:pPr>
      <w:bookmarkStart w:id="1" w:name="_Toc278464890"/>
      <w:r>
        <w:lastRenderedPageBreak/>
        <w:t>Table of Contents</w:t>
      </w:r>
      <w:bookmarkEnd w:id="1"/>
    </w:p>
    <w:p w14:paraId="2A9F7AA7" w14:textId="77777777" w:rsidR="00AB1470" w:rsidRDefault="00805D60">
      <w:pPr>
        <w:pStyle w:val="TOC1"/>
        <w:rPr>
          <w:rFonts w:asciiTheme="minorHAnsi" w:eastAsiaTheme="minorEastAsia" w:hAnsiTheme="minorHAnsi" w:cstheme="minorBidi"/>
          <w:b w:val="0"/>
          <w:caps w:val="0"/>
          <w:noProof/>
          <w:kern w:val="0"/>
          <w:sz w:val="24"/>
          <w:szCs w:val="24"/>
          <w:u w:val="none"/>
          <w:lang w:eastAsia="ja-JP"/>
        </w:rPr>
      </w:pPr>
      <w:r>
        <w:fldChar w:fldCharType="begin"/>
      </w:r>
      <w:r>
        <w:instrText xml:space="preserve"> TOC \o "1-3" \h \z \u </w:instrText>
      </w:r>
      <w:r>
        <w:fldChar w:fldCharType="separate"/>
      </w:r>
      <w:r w:rsidR="00AB1470">
        <w:rPr>
          <w:noProof/>
        </w:rPr>
        <w:t>Table of Contents</w:t>
      </w:r>
      <w:r w:rsidR="00AB1470">
        <w:rPr>
          <w:noProof/>
        </w:rPr>
        <w:tab/>
      </w:r>
      <w:r w:rsidR="00AB1470">
        <w:rPr>
          <w:noProof/>
        </w:rPr>
        <w:fldChar w:fldCharType="begin"/>
      </w:r>
      <w:r w:rsidR="00AB1470">
        <w:rPr>
          <w:noProof/>
        </w:rPr>
        <w:instrText xml:space="preserve"> PAGEREF _Toc278464890 \h </w:instrText>
      </w:r>
      <w:r w:rsidR="00AB1470">
        <w:rPr>
          <w:noProof/>
        </w:rPr>
      </w:r>
      <w:r w:rsidR="00AB1470">
        <w:rPr>
          <w:noProof/>
        </w:rPr>
        <w:fldChar w:fldCharType="separate"/>
      </w:r>
      <w:r w:rsidR="00AB1470">
        <w:rPr>
          <w:noProof/>
        </w:rPr>
        <w:t>1</w:t>
      </w:r>
      <w:r w:rsidR="00AB1470">
        <w:rPr>
          <w:noProof/>
        </w:rPr>
        <w:fldChar w:fldCharType="end"/>
      </w:r>
    </w:p>
    <w:p w14:paraId="433110F0"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t>1</w:t>
      </w:r>
      <w:r>
        <w:rPr>
          <w:rFonts w:asciiTheme="minorHAnsi" w:eastAsiaTheme="minorEastAsia" w:hAnsiTheme="minorHAnsi" w:cstheme="minorBidi"/>
          <w:b w:val="0"/>
          <w:caps w:val="0"/>
          <w:noProof/>
          <w:kern w:val="0"/>
          <w:sz w:val="24"/>
          <w:szCs w:val="24"/>
          <w:u w:val="none"/>
          <w:lang w:eastAsia="ja-JP"/>
        </w:rPr>
        <w:tab/>
      </w:r>
      <w:r>
        <w:rPr>
          <w:noProof/>
        </w:rPr>
        <w:t>Introduction</w:t>
      </w:r>
      <w:r>
        <w:rPr>
          <w:noProof/>
        </w:rPr>
        <w:tab/>
      </w:r>
      <w:r>
        <w:rPr>
          <w:noProof/>
        </w:rPr>
        <w:fldChar w:fldCharType="begin"/>
      </w:r>
      <w:r>
        <w:rPr>
          <w:noProof/>
        </w:rPr>
        <w:instrText xml:space="preserve"> PAGEREF _Toc278464891 \h </w:instrText>
      </w:r>
      <w:r>
        <w:rPr>
          <w:noProof/>
        </w:rPr>
      </w:r>
      <w:r>
        <w:rPr>
          <w:noProof/>
        </w:rPr>
        <w:fldChar w:fldCharType="separate"/>
      </w:r>
      <w:r>
        <w:rPr>
          <w:noProof/>
        </w:rPr>
        <w:t>3</w:t>
      </w:r>
      <w:r>
        <w:rPr>
          <w:noProof/>
        </w:rPr>
        <w:fldChar w:fldCharType="end"/>
      </w:r>
    </w:p>
    <w:p w14:paraId="4C63B0D6"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1.1</w:t>
      </w:r>
      <w:r>
        <w:rPr>
          <w:rFonts w:asciiTheme="minorHAnsi" w:eastAsiaTheme="minorEastAsia" w:hAnsiTheme="minorHAnsi" w:cstheme="minorBidi"/>
          <w:b w:val="0"/>
          <w:smallCaps w:val="0"/>
          <w:noProof/>
          <w:kern w:val="0"/>
          <w:sz w:val="24"/>
          <w:szCs w:val="24"/>
          <w:lang w:eastAsia="ja-JP"/>
        </w:rPr>
        <w:tab/>
      </w:r>
      <w:r>
        <w:rPr>
          <w:noProof/>
        </w:rPr>
        <w:t>Model Description</w:t>
      </w:r>
      <w:r>
        <w:rPr>
          <w:noProof/>
        </w:rPr>
        <w:tab/>
      </w:r>
      <w:r>
        <w:rPr>
          <w:noProof/>
        </w:rPr>
        <w:fldChar w:fldCharType="begin"/>
      </w:r>
      <w:r>
        <w:rPr>
          <w:noProof/>
        </w:rPr>
        <w:instrText xml:space="preserve"> PAGEREF _Toc278464892 \h </w:instrText>
      </w:r>
      <w:r>
        <w:rPr>
          <w:noProof/>
        </w:rPr>
      </w:r>
      <w:r>
        <w:rPr>
          <w:noProof/>
        </w:rPr>
        <w:fldChar w:fldCharType="separate"/>
      </w:r>
      <w:r>
        <w:rPr>
          <w:noProof/>
        </w:rPr>
        <w:t>3</w:t>
      </w:r>
      <w:r>
        <w:rPr>
          <w:noProof/>
        </w:rPr>
        <w:fldChar w:fldCharType="end"/>
      </w:r>
    </w:p>
    <w:p w14:paraId="2783DFEE"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1.2</w:t>
      </w:r>
      <w:r>
        <w:rPr>
          <w:rFonts w:asciiTheme="minorHAnsi" w:eastAsiaTheme="minorEastAsia" w:hAnsiTheme="minorHAnsi" w:cstheme="minorBidi"/>
          <w:b w:val="0"/>
          <w:smallCaps w:val="0"/>
          <w:noProof/>
          <w:kern w:val="0"/>
          <w:sz w:val="24"/>
          <w:szCs w:val="24"/>
          <w:lang w:eastAsia="ja-JP"/>
        </w:rPr>
        <w:tab/>
      </w:r>
      <w:r>
        <w:rPr>
          <w:noProof/>
        </w:rPr>
        <w:t>Model Usage</w:t>
      </w:r>
      <w:r>
        <w:rPr>
          <w:noProof/>
        </w:rPr>
        <w:tab/>
      </w:r>
      <w:r>
        <w:rPr>
          <w:noProof/>
        </w:rPr>
        <w:fldChar w:fldCharType="begin"/>
      </w:r>
      <w:r>
        <w:rPr>
          <w:noProof/>
        </w:rPr>
        <w:instrText xml:space="preserve"> PAGEREF _Toc278464893 \h </w:instrText>
      </w:r>
      <w:r>
        <w:rPr>
          <w:noProof/>
        </w:rPr>
      </w:r>
      <w:r>
        <w:rPr>
          <w:noProof/>
        </w:rPr>
        <w:fldChar w:fldCharType="separate"/>
      </w:r>
      <w:r>
        <w:rPr>
          <w:noProof/>
        </w:rPr>
        <w:t>4</w:t>
      </w:r>
      <w:r>
        <w:rPr>
          <w:noProof/>
        </w:rPr>
        <w:fldChar w:fldCharType="end"/>
      </w:r>
    </w:p>
    <w:p w14:paraId="09326D4E"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1.3</w:t>
      </w:r>
      <w:r>
        <w:rPr>
          <w:rFonts w:asciiTheme="minorHAnsi" w:eastAsiaTheme="minorEastAsia" w:hAnsiTheme="minorHAnsi" w:cstheme="minorBidi"/>
          <w:b w:val="0"/>
          <w:smallCaps w:val="0"/>
          <w:noProof/>
          <w:kern w:val="0"/>
          <w:sz w:val="24"/>
          <w:szCs w:val="24"/>
          <w:lang w:eastAsia="ja-JP"/>
        </w:rPr>
        <w:tab/>
      </w:r>
      <w:r>
        <w:rPr>
          <w:noProof/>
        </w:rPr>
        <w:t>Manual Introduction</w:t>
      </w:r>
      <w:r>
        <w:rPr>
          <w:noProof/>
        </w:rPr>
        <w:tab/>
      </w:r>
      <w:r>
        <w:rPr>
          <w:noProof/>
        </w:rPr>
        <w:fldChar w:fldCharType="begin"/>
      </w:r>
      <w:r>
        <w:rPr>
          <w:noProof/>
        </w:rPr>
        <w:instrText xml:space="preserve"> PAGEREF _Toc278464894 \h </w:instrText>
      </w:r>
      <w:r>
        <w:rPr>
          <w:noProof/>
        </w:rPr>
      </w:r>
      <w:r>
        <w:rPr>
          <w:noProof/>
        </w:rPr>
        <w:fldChar w:fldCharType="separate"/>
      </w:r>
      <w:r>
        <w:rPr>
          <w:noProof/>
        </w:rPr>
        <w:t>4</w:t>
      </w:r>
      <w:r>
        <w:rPr>
          <w:noProof/>
        </w:rPr>
        <w:fldChar w:fldCharType="end"/>
      </w:r>
    </w:p>
    <w:p w14:paraId="6E97F385"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1.4</w:t>
      </w:r>
      <w:r>
        <w:rPr>
          <w:rFonts w:asciiTheme="minorHAnsi" w:eastAsiaTheme="minorEastAsia" w:hAnsiTheme="minorHAnsi" w:cstheme="minorBidi"/>
          <w:b w:val="0"/>
          <w:smallCaps w:val="0"/>
          <w:noProof/>
          <w:kern w:val="0"/>
          <w:sz w:val="24"/>
          <w:szCs w:val="24"/>
          <w:lang w:eastAsia="ja-JP"/>
        </w:rPr>
        <w:tab/>
      </w:r>
      <w:r>
        <w:rPr>
          <w:noProof/>
        </w:rPr>
        <w:t>Copyright</w:t>
      </w:r>
      <w:r>
        <w:rPr>
          <w:noProof/>
        </w:rPr>
        <w:tab/>
      </w:r>
      <w:r>
        <w:rPr>
          <w:noProof/>
        </w:rPr>
        <w:fldChar w:fldCharType="begin"/>
      </w:r>
      <w:r>
        <w:rPr>
          <w:noProof/>
        </w:rPr>
        <w:instrText xml:space="preserve"> PAGEREF _Toc278464895 \h </w:instrText>
      </w:r>
      <w:r>
        <w:rPr>
          <w:noProof/>
        </w:rPr>
      </w:r>
      <w:r>
        <w:rPr>
          <w:noProof/>
        </w:rPr>
        <w:fldChar w:fldCharType="separate"/>
      </w:r>
      <w:r>
        <w:rPr>
          <w:noProof/>
        </w:rPr>
        <w:t>4</w:t>
      </w:r>
      <w:r>
        <w:rPr>
          <w:noProof/>
        </w:rPr>
        <w:fldChar w:fldCharType="end"/>
      </w:r>
    </w:p>
    <w:p w14:paraId="56661945"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t>2</w:t>
      </w:r>
      <w:r>
        <w:rPr>
          <w:rFonts w:asciiTheme="minorHAnsi" w:eastAsiaTheme="minorEastAsia" w:hAnsiTheme="minorHAnsi" w:cstheme="minorBidi"/>
          <w:b w:val="0"/>
          <w:caps w:val="0"/>
          <w:noProof/>
          <w:kern w:val="0"/>
          <w:sz w:val="24"/>
          <w:szCs w:val="24"/>
          <w:u w:val="none"/>
          <w:lang w:eastAsia="ja-JP"/>
        </w:rPr>
        <w:tab/>
      </w:r>
      <w:r>
        <w:rPr>
          <w:noProof/>
        </w:rPr>
        <w:t>Inputs</w:t>
      </w:r>
      <w:r>
        <w:rPr>
          <w:noProof/>
        </w:rPr>
        <w:tab/>
      </w:r>
      <w:r>
        <w:rPr>
          <w:noProof/>
        </w:rPr>
        <w:fldChar w:fldCharType="begin"/>
      </w:r>
      <w:r>
        <w:rPr>
          <w:noProof/>
        </w:rPr>
        <w:instrText xml:space="preserve"> PAGEREF _Toc278464896 \h </w:instrText>
      </w:r>
      <w:r>
        <w:rPr>
          <w:noProof/>
        </w:rPr>
      </w:r>
      <w:r>
        <w:rPr>
          <w:noProof/>
        </w:rPr>
        <w:fldChar w:fldCharType="separate"/>
      </w:r>
      <w:r>
        <w:rPr>
          <w:noProof/>
        </w:rPr>
        <w:t>5</w:t>
      </w:r>
      <w:r>
        <w:rPr>
          <w:noProof/>
        </w:rPr>
        <w:fldChar w:fldCharType="end"/>
      </w:r>
    </w:p>
    <w:p w14:paraId="25E451E5"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2.1</w:t>
      </w:r>
      <w:r>
        <w:rPr>
          <w:rFonts w:asciiTheme="minorHAnsi" w:eastAsiaTheme="minorEastAsia" w:hAnsiTheme="minorHAnsi" w:cstheme="minorBidi"/>
          <w:b w:val="0"/>
          <w:smallCaps w:val="0"/>
          <w:noProof/>
          <w:kern w:val="0"/>
          <w:sz w:val="24"/>
          <w:szCs w:val="24"/>
          <w:lang w:eastAsia="ja-JP"/>
        </w:rPr>
        <w:tab/>
      </w:r>
      <w:r>
        <w:rPr>
          <w:noProof/>
        </w:rPr>
        <w:t>Customer Sector</w:t>
      </w:r>
      <w:r>
        <w:rPr>
          <w:noProof/>
        </w:rPr>
        <w:tab/>
      </w:r>
      <w:r>
        <w:rPr>
          <w:noProof/>
        </w:rPr>
        <w:fldChar w:fldCharType="begin"/>
      </w:r>
      <w:r>
        <w:rPr>
          <w:noProof/>
        </w:rPr>
        <w:instrText xml:space="preserve"> PAGEREF _Toc278464897 \h </w:instrText>
      </w:r>
      <w:r>
        <w:rPr>
          <w:noProof/>
        </w:rPr>
      </w:r>
      <w:r>
        <w:rPr>
          <w:noProof/>
        </w:rPr>
        <w:fldChar w:fldCharType="separate"/>
      </w:r>
      <w:r>
        <w:rPr>
          <w:noProof/>
        </w:rPr>
        <w:t>6</w:t>
      </w:r>
      <w:r>
        <w:rPr>
          <w:noProof/>
        </w:rPr>
        <w:fldChar w:fldCharType="end"/>
      </w:r>
    </w:p>
    <w:p w14:paraId="43269243"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2.1.1</w:t>
      </w:r>
      <w:r>
        <w:rPr>
          <w:rFonts w:asciiTheme="minorHAnsi" w:eastAsiaTheme="minorEastAsia" w:hAnsiTheme="minorHAnsi" w:cstheme="minorBidi"/>
          <w:smallCaps w:val="0"/>
          <w:noProof/>
          <w:kern w:val="0"/>
          <w:sz w:val="24"/>
          <w:szCs w:val="24"/>
          <w:lang w:eastAsia="ja-JP"/>
        </w:rPr>
        <w:tab/>
      </w:r>
      <w:r>
        <w:rPr>
          <w:noProof/>
        </w:rPr>
        <w:t>Customer Sector Base Inputs</w:t>
      </w:r>
      <w:r>
        <w:rPr>
          <w:noProof/>
        </w:rPr>
        <w:tab/>
      </w:r>
      <w:r>
        <w:rPr>
          <w:noProof/>
        </w:rPr>
        <w:fldChar w:fldCharType="begin"/>
      </w:r>
      <w:r>
        <w:rPr>
          <w:noProof/>
        </w:rPr>
        <w:instrText xml:space="preserve"> PAGEREF _Toc278464898 \h </w:instrText>
      </w:r>
      <w:r>
        <w:rPr>
          <w:noProof/>
        </w:rPr>
      </w:r>
      <w:r>
        <w:rPr>
          <w:noProof/>
        </w:rPr>
        <w:fldChar w:fldCharType="separate"/>
      </w:r>
      <w:r>
        <w:rPr>
          <w:noProof/>
        </w:rPr>
        <w:t>6</w:t>
      </w:r>
      <w:r>
        <w:rPr>
          <w:noProof/>
        </w:rPr>
        <w:fldChar w:fldCharType="end"/>
      </w:r>
    </w:p>
    <w:p w14:paraId="39C5E689"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2.1.2</w:t>
      </w:r>
      <w:r>
        <w:rPr>
          <w:rFonts w:asciiTheme="minorHAnsi" w:eastAsiaTheme="minorEastAsia" w:hAnsiTheme="minorHAnsi" w:cstheme="minorBidi"/>
          <w:smallCaps w:val="0"/>
          <w:noProof/>
          <w:kern w:val="0"/>
          <w:sz w:val="24"/>
          <w:szCs w:val="24"/>
          <w:lang w:eastAsia="ja-JP"/>
        </w:rPr>
        <w:tab/>
      </w:r>
      <w:r>
        <w:rPr>
          <w:noProof/>
        </w:rPr>
        <w:t>Rate Impact Module</w:t>
      </w:r>
      <w:r>
        <w:rPr>
          <w:noProof/>
        </w:rPr>
        <w:tab/>
      </w:r>
      <w:r>
        <w:rPr>
          <w:noProof/>
        </w:rPr>
        <w:fldChar w:fldCharType="begin"/>
      </w:r>
      <w:r>
        <w:rPr>
          <w:noProof/>
        </w:rPr>
        <w:instrText xml:space="preserve"> PAGEREF _Toc278464899 \h </w:instrText>
      </w:r>
      <w:r>
        <w:rPr>
          <w:noProof/>
        </w:rPr>
      </w:r>
      <w:r>
        <w:rPr>
          <w:noProof/>
        </w:rPr>
        <w:fldChar w:fldCharType="separate"/>
      </w:r>
      <w:r>
        <w:rPr>
          <w:noProof/>
        </w:rPr>
        <w:t>13</w:t>
      </w:r>
      <w:r>
        <w:rPr>
          <w:noProof/>
        </w:rPr>
        <w:fldChar w:fldCharType="end"/>
      </w:r>
    </w:p>
    <w:p w14:paraId="7829F992"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2.1.3</w:t>
      </w:r>
      <w:r>
        <w:rPr>
          <w:rFonts w:asciiTheme="minorHAnsi" w:eastAsiaTheme="minorEastAsia" w:hAnsiTheme="minorHAnsi" w:cstheme="minorBidi"/>
          <w:smallCaps w:val="0"/>
          <w:noProof/>
          <w:kern w:val="0"/>
          <w:sz w:val="24"/>
          <w:szCs w:val="24"/>
          <w:lang w:eastAsia="ja-JP"/>
        </w:rPr>
        <w:tab/>
      </w:r>
      <w:r>
        <w:rPr>
          <w:noProof/>
        </w:rPr>
        <w:t>Bill Impact Module</w:t>
      </w:r>
      <w:r>
        <w:rPr>
          <w:noProof/>
        </w:rPr>
        <w:tab/>
      </w:r>
      <w:r>
        <w:rPr>
          <w:noProof/>
        </w:rPr>
        <w:fldChar w:fldCharType="begin"/>
      </w:r>
      <w:r>
        <w:rPr>
          <w:noProof/>
        </w:rPr>
        <w:instrText xml:space="preserve"> PAGEREF _Toc278464900 \h </w:instrText>
      </w:r>
      <w:r>
        <w:rPr>
          <w:noProof/>
        </w:rPr>
      </w:r>
      <w:r>
        <w:rPr>
          <w:noProof/>
        </w:rPr>
        <w:fldChar w:fldCharType="separate"/>
      </w:r>
      <w:r>
        <w:rPr>
          <w:noProof/>
        </w:rPr>
        <w:t>25</w:t>
      </w:r>
      <w:r>
        <w:rPr>
          <w:noProof/>
        </w:rPr>
        <w:fldChar w:fldCharType="end"/>
      </w:r>
    </w:p>
    <w:p w14:paraId="7D585424"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2.2</w:t>
      </w:r>
      <w:r>
        <w:rPr>
          <w:rFonts w:asciiTheme="minorHAnsi" w:eastAsiaTheme="minorEastAsia" w:hAnsiTheme="minorHAnsi" w:cstheme="minorBidi"/>
          <w:b w:val="0"/>
          <w:smallCaps w:val="0"/>
          <w:noProof/>
          <w:kern w:val="0"/>
          <w:sz w:val="24"/>
          <w:szCs w:val="24"/>
          <w:lang w:eastAsia="ja-JP"/>
        </w:rPr>
        <w:tab/>
      </w:r>
      <w:r>
        <w:rPr>
          <w:noProof/>
        </w:rPr>
        <w:t>Utility Sector</w:t>
      </w:r>
      <w:r>
        <w:rPr>
          <w:noProof/>
        </w:rPr>
        <w:tab/>
      </w:r>
      <w:r>
        <w:rPr>
          <w:noProof/>
        </w:rPr>
        <w:fldChar w:fldCharType="begin"/>
      </w:r>
      <w:r>
        <w:rPr>
          <w:noProof/>
        </w:rPr>
        <w:instrText xml:space="preserve"> PAGEREF _Toc278464901 \h </w:instrText>
      </w:r>
      <w:r>
        <w:rPr>
          <w:noProof/>
        </w:rPr>
      </w:r>
      <w:r>
        <w:rPr>
          <w:noProof/>
        </w:rPr>
        <w:fldChar w:fldCharType="separate"/>
      </w:r>
      <w:r>
        <w:rPr>
          <w:noProof/>
        </w:rPr>
        <w:t>28</w:t>
      </w:r>
      <w:r>
        <w:rPr>
          <w:noProof/>
        </w:rPr>
        <w:fldChar w:fldCharType="end"/>
      </w:r>
    </w:p>
    <w:p w14:paraId="40A0DDE4"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2.2.1</w:t>
      </w:r>
      <w:r>
        <w:rPr>
          <w:rFonts w:asciiTheme="minorHAnsi" w:eastAsiaTheme="minorEastAsia" w:hAnsiTheme="minorHAnsi" w:cstheme="minorBidi"/>
          <w:smallCaps w:val="0"/>
          <w:noProof/>
          <w:kern w:val="0"/>
          <w:sz w:val="24"/>
          <w:szCs w:val="24"/>
          <w:lang w:eastAsia="ja-JP"/>
        </w:rPr>
        <w:tab/>
      </w:r>
      <w:r>
        <w:rPr>
          <w:noProof/>
        </w:rPr>
        <w:t>Fundamental Module</w:t>
      </w:r>
      <w:r>
        <w:rPr>
          <w:noProof/>
        </w:rPr>
        <w:tab/>
      </w:r>
      <w:r>
        <w:rPr>
          <w:noProof/>
        </w:rPr>
        <w:fldChar w:fldCharType="begin"/>
      </w:r>
      <w:r>
        <w:rPr>
          <w:noProof/>
        </w:rPr>
        <w:instrText xml:space="preserve"> PAGEREF _Toc278464902 \h </w:instrText>
      </w:r>
      <w:r>
        <w:rPr>
          <w:noProof/>
        </w:rPr>
      </w:r>
      <w:r>
        <w:rPr>
          <w:noProof/>
        </w:rPr>
        <w:fldChar w:fldCharType="separate"/>
      </w:r>
      <w:r>
        <w:rPr>
          <w:noProof/>
        </w:rPr>
        <w:t>28</w:t>
      </w:r>
      <w:r>
        <w:rPr>
          <w:noProof/>
        </w:rPr>
        <w:fldChar w:fldCharType="end"/>
      </w:r>
    </w:p>
    <w:p w14:paraId="766D548F"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2.2.2</w:t>
      </w:r>
      <w:r>
        <w:rPr>
          <w:rFonts w:asciiTheme="minorHAnsi" w:eastAsiaTheme="minorEastAsia" w:hAnsiTheme="minorHAnsi" w:cstheme="minorBidi"/>
          <w:smallCaps w:val="0"/>
          <w:noProof/>
          <w:kern w:val="0"/>
          <w:sz w:val="24"/>
          <w:szCs w:val="24"/>
          <w:lang w:eastAsia="ja-JP"/>
        </w:rPr>
        <w:tab/>
      </w:r>
      <w:r>
        <w:rPr>
          <w:noProof/>
        </w:rPr>
        <w:t>Performance Incentive Sub-Module</w:t>
      </w:r>
      <w:r>
        <w:rPr>
          <w:noProof/>
        </w:rPr>
        <w:tab/>
      </w:r>
      <w:r>
        <w:rPr>
          <w:noProof/>
        </w:rPr>
        <w:fldChar w:fldCharType="begin"/>
      </w:r>
      <w:r>
        <w:rPr>
          <w:noProof/>
        </w:rPr>
        <w:instrText xml:space="preserve"> PAGEREF _Toc278464903 \h </w:instrText>
      </w:r>
      <w:r>
        <w:rPr>
          <w:noProof/>
        </w:rPr>
      </w:r>
      <w:r>
        <w:rPr>
          <w:noProof/>
        </w:rPr>
        <w:fldChar w:fldCharType="separate"/>
      </w:r>
      <w:r>
        <w:rPr>
          <w:noProof/>
        </w:rPr>
        <w:t>33</w:t>
      </w:r>
      <w:r>
        <w:rPr>
          <w:noProof/>
        </w:rPr>
        <w:fldChar w:fldCharType="end"/>
      </w:r>
    </w:p>
    <w:p w14:paraId="5B51DEE5"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2.2.3</w:t>
      </w:r>
      <w:r>
        <w:rPr>
          <w:rFonts w:asciiTheme="minorHAnsi" w:eastAsiaTheme="minorEastAsia" w:hAnsiTheme="minorHAnsi" w:cstheme="minorBidi"/>
          <w:smallCaps w:val="0"/>
          <w:noProof/>
          <w:kern w:val="0"/>
          <w:sz w:val="24"/>
          <w:szCs w:val="24"/>
          <w:lang w:eastAsia="ja-JP"/>
        </w:rPr>
        <w:tab/>
      </w:r>
      <w:r>
        <w:rPr>
          <w:noProof/>
        </w:rPr>
        <w:t>Deferred Capital Investment Sub-Module</w:t>
      </w:r>
      <w:r>
        <w:rPr>
          <w:noProof/>
        </w:rPr>
        <w:tab/>
      </w:r>
      <w:r>
        <w:rPr>
          <w:noProof/>
        </w:rPr>
        <w:fldChar w:fldCharType="begin"/>
      </w:r>
      <w:r>
        <w:rPr>
          <w:noProof/>
        </w:rPr>
        <w:instrText xml:space="preserve"> PAGEREF _Toc278464904 \h </w:instrText>
      </w:r>
      <w:r>
        <w:rPr>
          <w:noProof/>
        </w:rPr>
      </w:r>
      <w:r>
        <w:rPr>
          <w:noProof/>
        </w:rPr>
        <w:fldChar w:fldCharType="separate"/>
      </w:r>
      <w:r>
        <w:rPr>
          <w:noProof/>
        </w:rPr>
        <w:t>38</w:t>
      </w:r>
      <w:r>
        <w:rPr>
          <w:noProof/>
        </w:rPr>
        <w:fldChar w:fldCharType="end"/>
      </w:r>
    </w:p>
    <w:p w14:paraId="6EE0D539"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sidRPr="00A0096E">
        <w:rPr>
          <w:rFonts w:cs="Calibri"/>
          <w:noProof/>
        </w:rPr>
        <w:t>2.2.4</w:t>
      </w:r>
      <w:r>
        <w:rPr>
          <w:rFonts w:asciiTheme="minorHAnsi" w:eastAsiaTheme="minorEastAsia" w:hAnsiTheme="minorHAnsi" w:cstheme="minorBidi"/>
          <w:smallCaps w:val="0"/>
          <w:noProof/>
          <w:kern w:val="0"/>
          <w:sz w:val="24"/>
          <w:szCs w:val="24"/>
          <w:lang w:eastAsia="ja-JP"/>
        </w:rPr>
        <w:tab/>
      </w:r>
      <w:r>
        <w:rPr>
          <w:noProof/>
        </w:rPr>
        <w:t>Rate Case Sub-Module</w:t>
      </w:r>
      <w:r>
        <w:rPr>
          <w:noProof/>
        </w:rPr>
        <w:tab/>
      </w:r>
      <w:r>
        <w:rPr>
          <w:noProof/>
        </w:rPr>
        <w:fldChar w:fldCharType="begin"/>
      </w:r>
      <w:r>
        <w:rPr>
          <w:noProof/>
        </w:rPr>
        <w:instrText xml:space="preserve"> PAGEREF _Toc278464905 \h </w:instrText>
      </w:r>
      <w:r>
        <w:rPr>
          <w:noProof/>
        </w:rPr>
      </w:r>
      <w:r>
        <w:rPr>
          <w:noProof/>
        </w:rPr>
        <w:fldChar w:fldCharType="separate"/>
      </w:r>
      <w:r>
        <w:rPr>
          <w:noProof/>
        </w:rPr>
        <w:t>41</w:t>
      </w:r>
      <w:r>
        <w:rPr>
          <w:noProof/>
        </w:rPr>
        <w:fldChar w:fldCharType="end"/>
      </w:r>
    </w:p>
    <w:p w14:paraId="4260EA56"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2.3</w:t>
      </w:r>
      <w:r>
        <w:rPr>
          <w:rFonts w:asciiTheme="minorHAnsi" w:eastAsiaTheme="minorEastAsia" w:hAnsiTheme="minorHAnsi" w:cstheme="minorBidi"/>
          <w:b w:val="0"/>
          <w:smallCaps w:val="0"/>
          <w:noProof/>
          <w:kern w:val="0"/>
          <w:sz w:val="24"/>
          <w:szCs w:val="24"/>
          <w:lang w:eastAsia="ja-JP"/>
        </w:rPr>
        <w:tab/>
      </w:r>
      <w:r>
        <w:rPr>
          <w:noProof/>
        </w:rPr>
        <w:t>Cost-Benefit Analysis Sector</w:t>
      </w:r>
      <w:r>
        <w:rPr>
          <w:noProof/>
        </w:rPr>
        <w:tab/>
      </w:r>
      <w:r>
        <w:rPr>
          <w:noProof/>
        </w:rPr>
        <w:fldChar w:fldCharType="begin"/>
      </w:r>
      <w:r>
        <w:rPr>
          <w:noProof/>
        </w:rPr>
        <w:instrText xml:space="preserve"> PAGEREF _Toc278464906 \h </w:instrText>
      </w:r>
      <w:r>
        <w:rPr>
          <w:noProof/>
        </w:rPr>
      </w:r>
      <w:r>
        <w:rPr>
          <w:noProof/>
        </w:rPr>
        <w:fldChar w:fldCharType="separate"/>
      </w:r>
      <w:r>
        <w:rPr>
          <w:noProof/>
        </w:rPr>
        <w:t>44</w:t>
      </w:r>
      <w:r>
        <w:rPr>
          <w:noProof/>
        </w:rPr>
        <w:fldChar w:fldCharType="end"/>
      </w:r>
    </w:p>
    <w:p w14:paraId="1B0ABE2F"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2.3.1</w:t>
      </w:r>
      <w:r>
        <w:rPr>
          <w:rFonts w:asciiTheme="minorHAnsi" w:eastAsiaTheme="minorEastAsia" w:hAnsiTheme="minorHAnsi" w:cstheme="minorBidi"/>
          <w:smallCaps w:val="0"/>
          <w:noProof/>
          <w:kern w:val="0"/>
          <w:sz w:val="24"/>
          <w:szCs w:val="24"/>
          <w:lang w:eastAsia="ja-JP"/>
        </w:rPr>
        <w:tab/>
      </w:r>
      <w:r>
        <w:rPr>
          <w:noProof/>
        </w:rPr>
        <w:t>Fundamental Module</w:t>
      </w:r>
      <w:r>
        <w:rPr>
          <w:noProof/>
        </w:rPr>
        <w:tab/>
      </w:r>
      <w:r>
        <w:rPr>
          <w:noProof/>
        </w:rPr>
        <w:fldChar w:fldCharType="begin"/>
      </w:r>
      <w:r>
        <w:rPr>
          <w:noProof/>
        </w:rPr>
        <w:instrText xml:space="preserve"> PAGEREF _Toc278464907 \h </w:instrText>
      </w:r>
      <w:r>
        <w:rPr>
          <w:noProof/>
        </w:rPr>
      </w:r>
      <w:r>
        <w:rPr>
          <w:noProof/>
        </w:rPr>
        <w:fldChar w:fldCharType="separate"/>
      </w:r>
      <w:r>
        <w:rPr>
          <w:noProof/>
        </w:rPr>
        <w:t>44</w:t>
      </w:r>
      <w:r>
        <w:rPr>
          <w:noProof/>
        </w:rPr>
        <w:fldChar w:fldCharType="end"/>
      </w:r>
    </w:p>
    <w:p w14:paraId="062EDBDB"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2.3.2</w:t>
      </w:r>
      <w:r>
        <w:rPr>
          <w:rFonts w:asciiTheme="minorHAnsi" w:eastAsiaTheme="minorEastAsia" w:hAnsiTheme="minorHAnsi" w:cstheme="minorBidi"/>
          <w:smallCaps w:val="0"/>
          <w:noProof/>
          <w:kern w:val="0"/>
          <w:sz w:val="24"/>
          <w:szCs w:val="24"/>
          <w:lang w:eastAsia="ja-JP"/>
        </w:rPr>
        <w:tab/>
      </w:r>
      <w:r>
        <w:rPr>
          <w:noProof/>
        </w:rPr>
        <w:t>Discount Rate Sub-Module</w:t>
      </w:r>
      <w:r>
        <w:rPr>
          <w:noProof/>
        </w:rPr>
        <w:tab/>
      </w:r>
      <w:r>
        <w:rPr>
          <w:noProof/>
        </w:rPr>
        <w:fldChar w:fldCharType="begin"/>
      </w:r>
      <w:r>
        <w:rPr>
          <w:noProof/>
        </w:rPr>
        <w:instrText xml:space="preserve"> PAGEREF _Toc278464908 \h </w:instrText>
      </w:r>
      <w:r>
        <w:rPr>
          <w:noProof/>
        </w:rPr>
      </w:r>
      <w:r>
        <w:rPr>
          <w:noProof/>
        </w:rPr>
        <w:fldChar w:fldCharType="separate"/>
      </w:r>
      <w:r>
        <w:rPr>
          <w:noProof/>
        </w:rPr>
        <w:t>45</w:t>
      </w:r>
      <w:r>
        <w:rPr>
          <w:noProof/>
        </w:rPr>
        <w:fldChar w:fldCharType="end"/>
      </w:r>
    </w:p>
    <w:p w14:paraId="4EB51EAC"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2.3.3</w:t>
      </w:r>
      <w:r>
        <w:rPr>
          <w:rFonts w:asciiTheme="minorHAnsi" w:eastAsiaTheme="minorEastAsia" w:hAnsiTheme="minorHAnsi" w:cstheme="minorBidi"/>
          <w:smallCaps w:val="0"/>
          <w:noProof/>
          <w:kern w:val="0"/>
          <w:sz w:val="24"/>
          <w:szCs w:val="24"/>
          <w:lang w:eastAsia="ja-JP"/>
        </w:rPr>
        <w:tab/>
      </w:r>
      <w:r>
        <w:rPr>
          <w:noProof/>
        </w:rPr>
        <w:t>Avoided Capacity Cost Sub-Module</w:t>
      </w:r>
      <w:r>
        <w:rPr>
          <w:noProof/>
        </w:rPr>
        <w:tab/>
      </w:r>
      <w:r>
        <w:rPr>
          <w:noProof/>
        </w:rPr>
        <w:fldChar w:fldCharType="begin"/>
      </w:r>
      <w:r>
        <w:rPr>
          <w:noProof/>
        </w:rPr>
        <w:instrText xml:space="preserve"> PAGEREF _Toc278464909 \h </w:instrText>
      </w:r>
      <w:r>
        <w:rPr>
          <w:noProof/>
        </w:rPr>
      </w:r>
      <w:r>
        <w:rPr>
          <w:noProof/>
        </w:rPr>
        <w:fldChar w:fldCharType="separate"/>
      </w:r>
      <w:r>
        <w:rPr>
          <w:noProof/>
        </w:rPr>
        <w:t>46</w:t>
      </w:r>
      <w:r>
        <w:rPr>
          <w:noProof/>
        </w:rPr>
        <w:fldChar w:fldCharType="end"/>
      </w:r>
    </w:p>
    <w:p w14:paraId="15669C94"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2.3.4</w:t>
      </w:r>
      <w:r>
        <w:rPr>
          <w:rFonts w:asciiTheme="minorHAnsi" w:eastAsiaTheme="minorEastAsia" w:hAnsiTheme="minorHAnsi" w:cstheme="minorBidi"/>
          <w:smallCaps w:val="0"/>
          <w:noProof/>
          <w:kern w:val="0"/>
          <w:sz w:val="24"/>
          <w:szCs w:val="24"/>
          <w:lang w:eastAsia="ja-JP"/>
        </w:rPr>
        <w:tab/>
      </w:r>
      <w:r>
        <w:rPr>
          <w:noProof/>
        </w:rPr>
        <w:t>CBA Comparison Sub-Module</w:t>
      </w:r>
      <w:r>
        <w:rPr>
          <w:noProof/>
        </w:rPr>
        <w:tab/>
      </w:r>
      <w:r>
        <w:rPr>
          <w:noProof/>
        </w:rPr>
        <w:fldChar w:fldCharType="begin"/>
      </w:r>
      <w:r>
        <w:rPr>
          <w:noProof/>
        </w:rPr>
        <w:instrText xml:space="preserve"> PAGEREF _Toc278464910 \h </w:instrText>
      </w:r>
      <w:r>
        <w:rPr>
          <w:noProof/>
        </w:rPr>
      </w:r>
      <w:r>
        <w:rPr>
          <w:noProof/>
        </w:rPr>
        <w:fldChar w:fldCharType="separate"/>
      </w:r>
      <w:r>
        <w:rPr>
          <w:noProof/>
        </w:rPr>
        <w:t>47</w:t>
      </w:r>
      <w:r>
        <w:rPr>
          <w:noProof/>
        </w:rPr>
        <w:fldChar w:fldCharType="end"/>
      </w:r>
    </w:p>
    <w:p w14:paraId="1C91A96B"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2.3.5</w:t>
      </w:r>
      <w:r>
        <w:rPr>
          <w:rFonts w:asciiTheme="minorHAnsi" w:eastAsiaTheme="minorEastAsia" w:hAnsiTheme="minorHAnsi" w:cstheme="minorBidi"/>
          <w:smallCaps w:val="0"/>
          <w:noProof/>
          <w:kern w:val="0"/>
          <w:sz w:val="24"/>
          <w:szCs w:val="24"/>
          <w:lang w:eastAsia="ja-JP"/>
        </w:rPr>
        <w:tab/>
      </w:r>
      <w:r>
        <w:rPr>
          <w:noProof/>
        </w:rPr>
        <w:t>Other CBA Components Sub-Module</w:t>
      </w:r>
      <w:r>
        <w:rPr>
          <w:noProof/>
        </w:rPr>
        <w:tab/>
      </w:r>
      <w:r>
        <w:rPr>
          <w:noProof/>
        </w:rPr>
        <w:fldChar w:fldCharType="begin"/>
      </w:r>
      <w:r>
        <w:rPr>
          <w:noProof/>
        </w:rPr>
        <w:instrText xml:space="preserve"> PAGEREF _Toc278464911 \h </w:instrText>
      </w:r>
      <w:r>
        <w:rPr>
          <w:noProof/>
        </w:rPr>
      </w:r>
      <w:r>
        <w:rPr>
          <w:noProof/>
        </w:rPr>
        <w:fldChar w:fldCharType="separate"/>
      </w:r>
      <w:r>
        <w:rPr>
          <w:noProof/>
        </w:rPr>
        <w:t>48</w:t>
      </w:r>
      <w:r>
        <w:rPr>
          <w:noProof/>
        </w:rPr>
        <w:fldChar w:fldCharType="end"/>
      </w:r>
    </w:p>
    <w:p w14:paraId="1B1D2492"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t>3</w:t>
      </w:r>
      <w:r>
        <w:rPr>
          <w:rFonts w:asciiTheme="minorHAnsi" w:eastAsiaTheme="minorEastAsia" w:hAnsiTheme="minorHAnsi" w:cstheme="minorBidi"/>
          <w:b w:val="0"/>
          <w:caps w:val="0"/>
          <w:noProof/>
          <w:kern w:val="0"/>
          <w:sz w:val="24"/>
          <w:szCs w:val="24"/>
          <w:u w:val="none"/>
          <w:lang w:eastAsia="ja-JP"/>
        </w:rPr>
        <w:tab/>
      </w:r>
      <w:r>
        <w:rPr>
          <w:noProof/>
        </w:rPr>
        <w:t>Calculations</w:t>
      </w:r>
      <w:r>
        <w:rPr>
          <w:noProof/>
        </w:rPr>
        <w:tab/>
      </w:r>
      <w:r>
        <w:rPr>
          <w:noProof/>
        </w:rPr>
        <w:fldChar w:fldCharType="begin"/>
      </w:r>
      <w:r>
        <w:rPr>
          <w:noProof/>
        </w:rPr>
        <w:instrText xml:space="preserve"> PAGEREF _Toc278464912 \h </w:instrText>
      </w:r>
      <w:r>
        <w:rPr>
          <w:noProof/>
        </w:rPr>
      </w:r>
      <w:r>
        <w:rPr>
          <w:noProof/>
        </w:rPr>
        <w:fldChar w:fldCharType="separate"/>
      </w:r>
      <w:r>
        <w:rPr>
          <w:noProof/>
        </w:rPr>
        <w:t>49</w:t>
      </w:r>
      <w:r>
        <w:rPr>
          <w:noProof/>
        </w:rPr>
        <w:fldChar w:fldCharType="end"/>
      </w:r>
    </w:p>
    <w:p w14:paraId="4810BF71"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3.1</w:t>
      </w:r>
      <w:r>
        <w:rPr>
          <w:rFonts w:asciiTheme="minorHAnsi" w:eastAsiaTheme="minorEastAsia" w:hAnsiTheme="minorHAnsi" w:cstheme="minorBidi"/>
          <w:b w:val="0"/>
          <w:smallCaps w:val="0"/>
          <w:noProof/>
          <w:kern w:val="0"/>
          <w:sz w:val="24"/>
          <w:szCs w:val="24"/>
          <w:lang w:eastAsia="ja-JP"/>
        </w:rPr>
        <w:tab/>
      </w:r>
      <w:r>
        <w:rPr>
          <w:noProof/>
        </w:rPr>
        <w:t>Customer Sector</w:t>
      </w:r>
      <w:r>
        <w:rPr>
          <w:noProof/>
        </w:rPr>
        <w:tab/>
      </w:r>
      <w:r>
        <w:rPr>
          <w:noProof/>
        </w:rPr>
        <w:fldChar w:fldCharType="begin"/>
      </w:r>
      <w:r>
        <w:rPr>
          <w:noProof/>
        </w:rPr>
        <w:instrText xml:space="preserve"> PAGEREF _Toc278464913 \h </w:instrText>
      </w:r>
      <w:r>
        <w:rPr>
          <w:noProof/>
        </w:rPr>
      </w:r>
      <w:r>
        <w:rPr>
          <w:noProof/>
        </w:rPr>
        <w:fldChar w:fldCharType="separate"/>
      </w:r>
      <w:r>
        <w:rPr>
          <w:noProof/>
        </w:rPr>
        <w:t>49</w:t>
      </w:r>
      <w:r>
        <w:rPr>
          <w:noProof/>
        </w:rPr>
        <w:fldChar w:fldCharType="end"/>
      </w:r>
    </w:p>
    <w:p w14:paraId="458D3A0D"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3.1.1</w:t>
      </w:r>
      <w:r>
        <w:rPr>
          <w:rFonts w:asciiTheme="minorHAnsi" w:eastAsiaTheme="minorEastAsia" w:hAnsiTheme="minorHAnsi" w:cstheme="minorBidi"/>
          <w:smallCaps w:val="0"/>
          <w:noProof/>
          <w:kern w:val="0"/>
          <w:sz w:val="24"/>
          <w:szCs w:val="24"/>
          <w:lang w:eastAsia="ja-JP"/>
        </w:rPr>
        <w:tab/>
      </w:r>
      <w:r>
        <w:rPr>
          <w:noProof/>
        </w:rPr>
        <w:t>Rate Impact Module</w:t>
      </w:r>
      <w:r>
        <w:rPr>
          <w:noProof/>
        </w:rPr>
        <w:tab/>
      </w:r>
      <w:r>
        <w:rPr>
          <w:noProof/>
        </w:rPr>
        <w:fldChar w:fldCharType="begin"/>
      </w:r>
      <w:r>
        <w:rPr>
          <w:noProof/>
        </w:rPr>
        <w:instrText xml:space="preserve"> PAGEREF _Toc278464914 \h </w:instrText>
      </w:r>
      <w:r>
        <w:rPr>
          <w:noProof/>
        </w:rPr>
      </w:r>
      <w:r>
        <w:rPr>
          <w:noProof/>
        </w:rPr>
        <w:fldChar w:fldCharType="separate"/>
      </w:r>
      <w:r>
        <w:rPr>
          <w:noProof/>
        </w:rPr>
        <w:t>49</w:t>
      </w:r>
      <w:r>
        <w:rPr>
          <w:noProof/>
        </w:rPr>
        <w:fldChar w:fldCharType="end"/>
      </w:r>
    </w:p>
    <w:p w14:paraId="55F8E30E"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3.1.2</w:t>
      </w:r>
      <w:r>
        <w:rPr>
          <w:rFonts w:asciiTheme="minorHAnsi" w:eastAsiaTheme="minorEastAsia" w:hAnsiTheme="minorHAnsi" w:cstheme="minorBidi"/>
          <w:smallCaps w:val="0"/>
          <w:noProof/>
          <w:kern w:val="0"/>
          <w:sz w:val="24"/>
          <w:szCs w:val="24"/>
          <w:lang w:eastAsia="ja-JP"/>
        </w:rPr>
        <w:tab/>
      </w:r>
      <w:r>
        <w:rPr>
          <w:noProof/>
        </w:rPr>
        <w:t>Bill Impact Module</w:t>
      </w:r>
      <w:r>
        <w:rPr>
          <w:noProof/>
        </w:rPr>
        <w:tab/>
      </w:r>
      <w:r>
        <w:rPr>
          <w:noProof/>
        </w:rPr>
        <w:fldChar w:fldCharType="begin"/>
      </w:r>
      <w:r>
        <w:rPr>
          <w:noProof/>
        </w:rPr>
        <w:instrText xml:space="preserve"> PAGEREF _Toc278464915 \h </w:instrText>
      </w:r>
      <w:r>
        <w:rPr>
          <w:noProof/>
        </w:rPr>
      </w:r>
      <w:r>
        <w:rPr>
          <w:noProof/>
        </w:rPr>
        <w:fldChar w:fldCharType="separate"/>
      </w:r>
      <w:r>
        <w:rPr>
          <w:noProof/>
        </w:rPr>
        <w:t>53</w:t>
      </w:r>
      <w:r>
        <w:rPr>
          <w:noProof/>
        </w:rPr>
        <w:fldChar w:fldCharType="end"/>
      </w:r>
    </w:p>
    <w:p w14:paraId="482B843A"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3.2</w:t>
      </w:r>
      <w:r>
        <w:rPr>
          <w:rFonts w:asciiTheme="minorHAnsi" w:eastAsiaTheme="minorEastAsia" w:hAnsiTheme="minorHAnsi" w:cstheme="minorBidi"/>
          <w:b w:val="0"/>
          <w:smallCaps w:val="0"/>
          <w:noProof/>
          <w:kern w:val="0"/>
          <w:sz w:val="24"/>
          <w:szCs w:val="24"/>
          <w:lang w:eastAsia="ja-JP"/>
        </w:rPr>
        <w:tab/>
      </w:r>
      <w:r>
        <w:rPr>
          <w:noProof/>
        </w:rPr>
        <w:t>Utility Sector</w:t>
      </w:r>
      <w:r>
        <w:rPr>
          <w:noProof/>
        </w:rPr>
        <w:tab/>
      </w:r>
      <w:r>
        <w:rPr>
          <w:noProof/>
        </w:rPr>
        <w:fldChar w:fldCharType="begin"/>
      </w:r>
      <w:r>
        <w:rPr>
          <w:noProof/>
        </w:rPr>
        <w:instrText xml:space="preserve"> PAGEREF _Toc278464916 \h </w:instrText>
      </w:r>
      <w:r>
        <w:rPr>
          <w:noProof/>
        </w:rPr>
      </w:r>
      <w:r>
        <w:rPr>
          <w:noProof/>
        </w:rPr>
        <w:fldChar w:fldCharType="separate"/>
      </w:r>
      <w:r>
        <w:rPr>
          <w:noProof/>
        </w:rPr>
        <w:t>55</w:t>
      </w:r>
      <w:r>
        <w:rPr>
          <w:noProof/>
        </w:rPr>
        <w:fldChar w:fldCharType="end"/>
      </w:r>
    </w:p>
    <w:p w14:paraId="487C6D60"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3.2.1</w:t>
      </w:r>
      <w:r>
        <w:rPr>
          <w:rFonts w:asciiTheme="minorHAnsi" w:eastAsiaTheme="minorEastAsia" w:hAnsiTheme="minorHAnsi" w:cstheme="minorBidi"/>
          <w:smallCaps w:val="0"/>
          <w:noProof/>
          <w:kern w:val="0"/>
          <w:sz w:val="24"/>
          <w:szCs w:val="24"/>
          <w:lang w:eastAsia="ja-JP"/>
        </w:rPr>
        <w:tab/>
      </w:r>
      <w:r>
        <w:rPr>
          <w:noProof/>
        </w:rPr>
        <w:t>Fundamental Sub-Module</w:t>
      </w:r>
      <w:r>
        <w:rPr>
          <w:noProof/>
        </w:rPr>
        <w:tab/>
      </w:r>
      <w:r>
        <w:rPr>
          <w:noProof/>
        </w:rPr>
        <w:fldChar w:fldCharType="begin"/>
      </w:r>
      <w:r>
        <w:rPr>
          <w:noProof/>
        </w:rPr>
        <w:instrText xml:space="preserve"> PAGEREF _Toc278464917 \h </w:instrText>
      </w:r>
      <w:r>
        <w:rPr>
          <w:noProof/>
        </w:rPr>
      </w:r>
      <w:r>
        <w:rPr>
          <w:noProof/>
        </w:rPr>
        <w:fldChar w:fldCharType="separate"/>
      </w:r>
      <w:r>
        <w:rPr>
          <w:noProof/>
        </w:rPr>
        <w:t>55</w:t>
      </w:r>
      <w:r>
        <w:rPr>
          <w:noProof/>
        </w:rPr>
        <w:fldChar w:fldCharType="end"/>
      </w:r>
    </w:p>
    <w:p w14:paraId="687CE094"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3.2.2</w:t>
      </w:r>
      <w:r>
        <w:rPr>
          <w:rFonts w:asciiTheme="minorHAnsi" w:eastAsiaTheme="minorEastAsia" w:hAnsiTheme="minorHAnsi" w:cstheme="minorBidi"/>
          <w:smallCaps w:val="0"/>
          <w:noProof/>
          <w:kern w:val="0"/>
          <w:sz w:val="24"/>
          <w:szCs w:val="24"/>
          <w:lang w:eastAsia="ja-JP"/>
        </w:rPr>
        <w:tab/>
      </w:r>
      <w:r>
        <w:rPr>
          <w:noProof/>
        </w:rPr>
        <w:t>Performance Incentive Sub-Module</w:t>
      </w:r>
      <w:r>
        <w:rPr>
          <w:noProof/>
        </w:rPr>
        <w:tab/>
      </w:r>
      <w:r>
        <w:rPr>
          <w:noProof/>
        </w:rPr>
        <w:fldChar w:fldCharType="begin"/>
      </w:r>
      <w:r>
        <w:rPr>
          <w:noProof/>
        </w:rPr>
        <w:instrText xml:space="preserve"> PAGEREF _Toc278464918 \h </w:instrText>
      </w:r>
      <w:r>
        <w:rPr>
          <w:noProof/>
        </w:rPr>
      </w:r>
      <w:r>
        <w:rPr>
          <w:noProof/>
        </w:rPr>
        <w:fldChar w:fldCharType="separate"/>
      </w:r>
      <w:r>
        <w:rPr>
          <w:noProof/>
        </w:rPr>
        <w:t>59</w:t>
      </w:r>
      <w:r>
        <w:rPr>
          <w:noProof/>
        </w:rPr>
        <w:fldChar w:fldCharType="end"/>
      </w:r>
    </w:p>
    <w:p w14:paraId="19C06C67"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sidRPr="00A0096E">
        <w:rPr>
          <w:rFonts w:cs="Calibri"/>
          <w:noProof/>
        </w:rPr>
        <w:t>3.2.3</w:t>
      </w:r>
      <w:r>
        <w:rPr>
          <w:rFonts w:asciiTheme="minorHAnsi" w:eastAsiaTheme="minorEastAsia" w:hAnsiTheme="minorHAnsi" w:cstheme="minorBidi"/>
          <w:smallCaps w:val="0"/>
          <w:noProof/>
          <w:kern w:val="0"/>
          <w:sz w:val="24"/>
          <w:szCs w:val="24"/>
          <w:lang w:eastAsia="ja-JP"/>
        </w:rPr>
        <w:tab/>
      </w:r>
      <w:r>
        <w:rPr>
          <w:noProof/>
        </w:rPr>
        <w:t>Deferred Capital Investment Sub-Module</w:t>
      </w:r>
      <w:r>
        <w:rPr>
          <w:noProof/>
        </w:rPr>
        <w:tab/>
      </w:r>
      <w:r>
        <w:rPr>
          <w:noProof/>
        </w:rPr>
        <w:fldChar w:fldCharType="begin"/>
      </w:r>
      <w:r>
        <w:rPr>
          <w:noProof/>
        </w:rPr>
        <w:instrText xml:space="preserve"> PAGEREF _Toc278464919 \h </w:instrText>
      </w:r>
      <w:r>
        <w:rPr>
          <w:noProof/>
        </w:rPr>
      </w:r>
      <w:r>
        <w:rPr>
          <w:noProof/>
        </w:rPr>
        <w:fldChar w:fldCharType="separate"/>
      </w:r>
      <w:r>
        <w:rPr>
          <w:noProof/>
        </w:rPr>
        <w:t>60</w:t>
      </w:r>
      <w:r>
        <w:rPr>
          <w:noProof/>
        </w:rPr>
        <w:fldChar w:fldCharType="end"/>
      </w:r>
    </w:p>
    <w:p w14:paraId="060B6EB5"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3.3</w:t>
      </w:r>
      <w:r>
        <w:rPr>
          <w:rFonts w:asciiTheme="minorHAnsi" w:eastAsiaTheme="minorEastAsia" w:hAnsiTheme="minorHAnsi" w:cstheme="minorBidi"/>
          <w:b w:val="0"/>
          <w:smallCaps w:val="0"/>
          <w:noProof/>
          <w:kern w:val="0"/>
          <w:sz w:val="24"/>
          <w:szCs w:val="24"/>
          <w:lang w:eastAsia="ja-JP"/>
        </w:rPr>
        <w:tab/>
      </w:r>
      <w:r>
        <w:rPr>
          <w:noProof/>
        </w:rPr>
        <w:t>Cost-Benefit Analysis</w:t>
      </w:r>
      <w:r>
        <w:rPr>
          <w:noProof/>
        </w:rPr>
        <w:tab/>
      </w:r>
      <w:r>
        <w:rPr>
          <w:noProof/>
        </w:rPr>
        <w:fldChar w:fldCharType="begin"/>
      </w:r>
      <w:r>
        <w:rPr>
          <w:noProof/>
        </w:rPr>
        <w:instrText xml:space="preserve"> PAGEREF _Toc278464920 \h </w:instrText>
      </w:r>
      <w:r>
        <w:rPr>
          <w:noProof/>
        </w:rPr>
      </w:r>
      <w:r>
        <w:rPr>
          <w:noProof/>
        </w:rPr>
        <w:fldChar w:fldCharType="separate"/>
      </w:r>
      <w:r>
        <w:rPr>
          <w:noProof/>
        </w:rPr>
        <w:t>62</w:t>
      </w:r>
      <w:r>
        <w:rPr>
          <w:noProof/>
        </w:rPr>
        <w:fldChar w:fldCharType="end"/>
      </w:r>
    </w:p>
    <w:p w14:paraId="7FA2CD92"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t>4</w:t>
      </w:r>
      <w:r>
        <w:rPr>
          <w:rFonts w:asciiTheme="minorHAnsi" w:eastAsiaTheme="minorEastAsia" w:hAnsiTheme="minorHAnsi" w:cstheme="minorBidi"/>
          <w:b w:val="0"/>
          <w:caps w:val="0"/>
          <w:noProof/>
          <w:kern w:val="0"/>
          <w:sz w:val="24"/>
          <w:szCs w:val="24"/>
          <w:u w:val="none"/>
          <w:lang w:eastAsia="ja-JP"/>
        </w:rPr>
        <w:tab/>
      </w:r>
      <w:r>
        <w:rPr>
          <w:noProof/>
        </w:rPr>
        <w:t>Outputs</w:t>
      </w:r>
      <w:r>
        <w:rPr>
          <w:noProof/>
        </w:rPr>
        <w:tab/>
      </w:r>
      <w:r>
        <w:rPr>
          <w:noProof/>
        </w:rPr>
        <w:fldChar w:fldCharType="begin"/>
      </w:r>
      <w:r>
        <w:rPr>
          <w:noProof/>
        </w:rPr>
        <w:instrText xml:space="preserve"> PAGEREF _Toc278464921 \h </w:instrText>
      </w:r>
      <w:r>
        <w:rPr>
          <w:noProof/>
        </w:rPr>
      </w:r>
      <w:r>
        <w:rPr>
          <w:noProof/>
        </w:rPr>
        <w:fldChar w:fldCharType="separate"/>
      </w:r>
      <w:r>
        <w:rPr>
          <w:noProof/>
        </w:rPr>
        <w:t>65</w:t>
      </w:r>
      <w:r>
        <w:rPr>
          <w:noProof/>
        </w:rPr>
        <w:fldChar w:fldCharType="end"/>
      </w:r>
    </w:p>
    <w:p w14:paraId="23B5669B"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4.1</w:t>
      </w:r>
      <w:r>
        <w:rPr>
          <w:rFonts w:asciiTheme="minorHAnsi" w:eastAsiaTheme="minorEastAsia" w:hAnsiTheme="minorHAnsi" w:cstheme="minorBidi"/>
          <w:b w:val="0"/>
          <w:smallCaps w:val="0"/>
          <w:noProof/>
          <w:kern w:val="0"/>
          <w:sz w:val="24"/>
          <w:szCs w:val="24"/>
          <w:lang w:eastAsia="ja-JP"/>
        </w:rPr>
        <w:tab/>
      </w:r>
      <w:r>
        <w:rPr>
          <w:noProof/>
        </w:rPr>
        <w:t>Customer Sector</w:t>
      </w:r>
      <w:r>
        <w:rPr>
          <w:noProof/>
        </w:rPr>
        <w:tab/>
      </w:r>
      <w:r>
        <w:rPr>
          <w:noProof/>
        </w:rPr>
        <w:fldChar w:fldCharType="begin"/>
      </w:r>
      <w:r>
        <w:rPr>
          <w:noProof/>
        </w:rPr>
        <w:instrText xml:space="preserve"> PAGEREF _Toc278464922 \h </w:instrText>
      </w:r>
      <w:r>
        <w:rPr>
          <w:noProof/>
        </w:rPr>
      </w:r>
      <w:r>
        <w:rPr>
          <w:noProof/>
        </w:rPr>
        <w:fldChar w:fldCharType="separate"/>
      </w:r>
      <w:r>
        <w:rPr>
          <w:noProof/>
        </w:rPr>
        <w:t>65</w:t>
      </w:r>
      <w:r>
        <w:rPr>
          <w:noProof/>
        </w:rPr>
        <w:fldChar w:fldCharType="end"/>
      </w:r>
    </w:p>
    <w:p w14:paraId="012E18DC"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4.1.1</w:t>
      </w:r>
      <w:r>
        <w:rPr>
          <w:rFonts w:asciiTheme="minorHAnsi" w:eastAsiaTheme="minorEastAsia" w:hAnsiTheme="minorHAnsi" w:cstheme="minorBidi"/>
          <w:smallCaps w:val="0"/>
          <w:noProof/>
          <w:kern w:val="0"/>
          <w:sz w:val="24"/>
          <w:szCs w:val="24"/>
          <w:lang w:eastAsia="ja-JP"/>
        </w:rPr>
        <w:tab/>
      </w:r>
      <w:r>
        <w:rPr>
          <w:noProof/>
        </w:rPr>
        <w:t>Rate Impact Module</w:t>
      </w:r>
      <w:r>
        <w:rPr>
          <w:noProof/>
        </w:rPr>
        <w:tab/>
      </w:r>
      <w:r>
        <w:rPr>
          <w:noProof/>
        </w:rPr>
        <w:fldChar w:fldCharType="begin"/>
      </w:r>
      <w:r>
        <w:rPr>
          <w:noProof/>
        </w:rPr>
        <w:instrText xml:space="preserve"> PAGEREF _Toc278464923 \h </w:instrText>
      </w:r>
      <w:r>
        <w:rPr>
          <w:noProof/>
        </w:rPr>
      </w:r>
      <w:r>
        <w:rPr>
          <w:noProof/>
        </w:rPr>
        <w:fldChar w:fldCharType="separate"/>
      </w:r>
      <w:r>
        <w:rPr>
          <w:noProof/>
        </w:rPr>
        <w:t>65</w:t>
      </w:r>
      <w:r>
        <w:rPr>
          <w:noProof/>
        </w:rPr>
        <w:fldChar w:fldCharType="end"/>
      </w:r>
    </w:p>
    <w:p w14:paraId="607C6D83"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4.1.2</w:t>
      </w:r>
      <w:r>
        <w:rPr>
          <w:rFonts w:asciiTheme="minorHAnsi" w:eastAsiaTheme="minorEastAsia" w:hAnsiTheme="minorHAnsi" w:cstheme="minorBidi"/>
          <w:smallCaps w:val="0"/>
          <w:noProof/>
          <w:kern w:val="0"/>
          <w:sz w:val="24"/>
          <w:szCs w:val="24"/>
          <w:lang w:eastAsia="ja-JP"/>
        </w:rPr>
        <w:tab/>
      </w:r>
      <w:r>
        <w:rPr>
          <w:noProof/>
        </w:rPr>
        <w:t>Bill Impact Module</w:t>
      </w:r>
      <w:r>
        <w:rPr>
          <w:noProof/>
        </w:rPr>
        <w:tab/>
      </w:r>
      <w:r>
        <w:rPr>
          <w:noProof/>
        </w:rPr>
        <w:fldChar w:fldCharType="begin"/>
      </w:r>
      <w:r>
        <w:rPr>
          <w:noProof/>
        </w:rPr>
        <w:instrText xml:space="preserve"> PAGEREF _Toc278464924 \h </w:instrText>
      </w:r>
      <w:r>
        <w:rPr>
          <w:noProof/>
        </w:rPr>
      </w:r>
      <w:r>
        <w:rPr>
          <w:noProof/>
        </w:rPr>
        <w:fldChar w:fldCharType="separate"/>
      </w:r>
      <w:r>
        <w:rPr>
          <w:noProof/>
        </w:rPr>
        <w:t>67</w:t>
      </w:r>
      <w:r>
        <w:rPr>
          <w:noProof/>
        </w:rPr>
        <w:fldChar w:fldCharType="end"/>
      </w:r>
    </w:p>
    <w:p w14:paraId="20822045"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4.2</w:t>
      </w:r>
      <w:r>
        <w:rPr>
          <w:rFonts w:asciiTheme="minorHAnsi" w:eastAsiaTheme="minorEastAsia" w:hAnsiTheme="minorHAnsi" w:cstheme="minorBidi"/>
          <w:b w:val="0"/>
          <w:smallCaps w:val="0"/>
          <w:noProof/>
          <w:kern w:val="0"/>
          <w:sz w:val="24"/>
          <w:szCs w:val="24"/>
          <w:lang w:eastAsia="ja-JP"/>
        </w:rPr>
        <w:tab/>
      </w:r>
      <w:r>
        <w:rPr>
          <w:noProof/>
        </w:rPr>
        <w:t>Utility Sector</w:t>
      </w:r>
      <w:r>
        <w:rPr>
          <w:noProof/>
        </w:rPr>
        <w:tab/>
      </w:r>
      <w:r>
        <w:rPr>
          <w:noProof/>
        </w:rPr>
        <w:fldChar w:fldCharType="begin"/>
      </w:r>
      <w:r>
        <w:rPr>
          <w:noProof/>
        </w:rPr>
        <w:instrText xml:space="preserve"> PAGEREF _Toc278464925 \h </w:instrText>
      </w:r>
      <w:r>
        <w:rPr>
          <w:noProof/>
        </w:rPr>
      </w:r>
      <w:r>
        <w:rPr>
          <w:noProof/>
        </w:rPr>
        <w:fldChar w:fldCharType="separate"/>
      </w:r>
      <w:r>
        <w:rPr>
          <w:noProof/>
        </w:rPr>
        <w:t>69</w:t>
      </w:r>
      <w:r>
        <w:rPr>
          <w:noProof/>
        </w:rPr>
        <w:fldChar w:fldCharType="end"/>
      </w:r>
    </w:p>
    <w:p w14:paraId="3B1CC8AA"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4.2.1</w:t>
      </w:r>
      <w:r>
        <w:rPr>
          <w:rFonts w:asciiTheme="minorHAnsi" w:eastAsiaTheme="minorEastAsia" w:hAnsiTheme="minorHAnsi" w:cstheme="minorBidi"/>
          <w:smallCaps w:val="0"/>
          <w:noProof/>
          <w:kern w:val="0"/>
          <w:sz w:val="24"/>
          <w:szCs w:val="24"/>
          <w:lang w:eastAsia="ja-JP"/>
        </w:rPr>
        <w:tab/>
      </w:r>
      <w:r>
        <w:rPr>
          <w:noProof/>
        </w:rPr>
        <w:t>Utility Impact Module</w:t>
      </w:r>
      <w:r>
        <w:rPr>
          <w:noProof/>
        </w:rPr>
        <w:tab/>
      </w:r>
      <w:r>
        <w:rPr>
          <w:noProof/>
        </w:rPr>
        <w:fldChar w:fldCharType="begin"/>
      </w:r>
      <w:r>
        <w:rPr>
          <w:noProof/>
        </w:rPr>
        <w:instrText xml:space="preserve"> PAGEREF _Toc278464926 \h </w:instrText>
      </w:r>
      <w:r>
        <w:rPr>
          <w:noProof/>
        </w:rPr>
      </w:r>
      <w:r>
        <w:rPr>
          <w:noProof/>
        </w:rPr>
        <w:fldChar w:fldCharType="separate"/>
      </w:r>
      <w:r>
        <w:rPr>
          <w:noProof/>
        </w:rPr>
        <w:t>69</w:t>
      </w:r>
      <w:r>
        <w:rPr>
          <w:noProof/>
        </w:rPr>
        <w:fldChar w:fldCharType="end"/>
      </w:r>
    </w:p>
    <w:p w14:paraId="5A4AF42D" w14:textId="77777777" w:rsidR="00AB1470" w:rsidRDefault="00AB1470">
      <w:pPr>
        <w:pStyle w:val="TOC3"/>
        <w:tabs>
          <w:tab w:val="left" w:pos="1262"/>
        </w:tabs>
        <w:rPr>
          <w:rFonts w:asciiTheme="minorHAnsi" w:eastAsiaTheme="minorEastAsia" w:hAnsiTheme="minorHAnsi" w:cstheme="minorBidi"/>
          <w:smallCaps w:val="0"/>
          <w:noProof/>
          <w:kern w:val="0"/>
          <w:sz w:val="24"/>
          <w:szCs w:val="24"/>
          <w:lang w:eastAsia="ja-JP"/>
        </w:rPr>
      </w:pPr>
      <w:r>
        <w:rPr>
          <w:noProof/>
        </w:rPr>
        <w:t>4.2.2</w:t>
      </w:r>
      <w:r>
        <w:rPr>
          <w:rFonts w:asciiTheme="minorHAnsi" w:eastAsiaTheme="minorEastAsia" w:hAnsiTheme="minorHAnsi" w:cstheme="minorBidi"/>
          <w:smallCaps w:val="0"/>
          <w:noProof/>
          <w:kern w:val="0"/>
          <w:sz w:val="24"/>
          <w:szCs w:val="24"/>
          <w:lang w:eastAsia="ja-JP"/>
        </w:rPr>
        <w:tab/>
      </w:r>
      <w:r>
        <w:rPr>
          <w:noProof/>
        </w:rPr>
        <w:t>Capital Investment Deferral Module</w:t>
      </w:r>
      <w:r>
        <w:rPr>
          <w:noProof/>
        </w:rPr>
        <w:tab/>
      </w:r>
      <w:r>
        <w:rPr>
          <w:noProof/>
        </w:rPr>
        <w:fldChar w:fldCharType="begin"/>
      </w:r>
      <w:r>
        <w:rPr>
          <w:noProof/>
        </w:rPr>
        <w:instrText xml:space="preserve"> PAGEREF _Toc278464927 \h </w:instrText>
      </w:r>
      <w:r>
        <w:rPr>
          <w:noProof/>
        </w:rPr>
      </w:r>
      <w:r>
        <w:rPr>
          <w:noProof/>
        </w:rPr>
        <w:fldChar w:fldCharType="separate"/>
      </w:r>
      <w:r>
        <w:rPr>
          <w:noProof/>
        </w:rPr>
        <w:t>70</w:t>
      </w:r>
      <w:r>
        <w:rPr>
          <w:noProof/>
        </w:rPr>
        <w:fldChar w:fldCharType="end"/>
      </w:r>
    </w:p>
    <w:p w14:paraId="08865B10" w14:textId="77777777" w:rsidR="00AB1470" w:rsidRDefault="00AB1470">
      <w:pPr>
        <w:pStyle w:val="TOC2"/>
        <w:tabs>
          <w:tab w:val="left" w:pos="835"/>
        </w:tabs>
        <w:rPr>
          <w:rFonts w:asciiTheme="minorHAnsi" w:eastAsiaTheme="minorEastAsia" w:hAnsiTheme="minorHAnsi" w:cstheme="minorBidi"/>
          <w:b w:val="0"/>
          <w:smallCaps w:val="0"/>
          <w:noProof/>
          <w:kern w:val="0"/>
          <w:sz w:val="24"/>
          <w:szCs w:val="24"/>
          <w:lang w:eastAsia="ja-JP"/>
        </w:rPr>
      </w:pPr>
      <w:r>
        <w:rPr>
          <w:noProof/>
        </w:rPr>
        <w:t>4.3</w:t>
      </w:r>
      <w:r>
        <w:rPr>
          <w:rFonts w:asciiTheme="minorHAnsi" w:eastAsiaTheme="minorEastAsia" w:hAnsiTheme="minorHAnsi" w:cstheme="minorBidi"/>
          <w:b w:val="0"/>
          <w:smallCaps w:val="0"/>
          <w:noProof/>
          <w:kern w:val="0"/>
          <w:sz w:val="24"/>
          <w:szCs w:val="24"/>
          <w:lang w:eastAsia="ja-JP"/>
        </w:rPr>
        <w:tab/>
      </w:r>
      <w:r>
        <w:rPr>
          <w:noProof/>
        </w:rPr>
        <w:t>Cost-Benefit Analysis Sector</w:t>
      </w:r>
      <w:r>
        <w:rPr>
          <w:noProof/>
        </w:rPr>
        <w:tab/>
      </w:r>
      <w:r>
        <w:rPr>
          <w:noProof/>
        </w:rPr>
        <w:fldChar w:fldCharType="begin"/>
      </w:r>
      <w:r>
        <w:rPr>
          <w:noProof/>
        </w:rPr>
        <w:instrText xml:space="preserve"> PAGEREF _Toc278464928 \h </w:instrText>
      </w:r>
      <w:r>
        <w:rPr>
          <w:noProof/>
        </w:rPr>
      </w:r>
      <w:r>
        <w:rPr>
          <w:noProof/>
        </w:rPr>
        <w:fldChar w:fldCharType="separate"/>
      </w:r>
      <w:r>
        <w:rPr>
          <w:noProof/>
        </w:rPr>
        <w:t>72</w:t>
      </w:r>
      <w:r>
        <w:rPr>
          <w:noProof/>
        </w:rPr>
        <w:fldChar w:fldCharType="end"/>
      </w:r>
    </w:p>
    <w:p w14:paraId="256019D4"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lastRenderedPageBreak/>
        <w:t>5</w:t>
      </w:r>
      <w:r>
        <w:rPr>
          <w:rFonts w:asciiTheme="minorHAnsi" w:eastAsiaTheme="minorEastAsia" w:hAnsiTheme="minorHAnsi" w:cstheme="minorBidi"/>
          <w:b w:val="0"/>
          <w:caps w:val="0"/>
          <w:noProof/>
          <w:kern w:val="0"/>
          <w:sz w:val="24"/>
          <w:szCs w:val="24"/>
          <w:u w:val="none"/>
          <w:lang w:eastAsia="ja-JP"/>
        </w:rPr>
        <w:tab/>
      </w:r>
      <w:r>
        <w:rPr>
          <w:noProof/>
        </w:rPr>
        <w:t>References</w:t>
      </w:r>
      <w:r>
        <w:rPr>
          <w:noProof/>
        </w:rPr>
        <w:tab/>
      </w:r>
      <w:r>
        <w:rPr>
          <w:noProof/>
        </w:rPr>
        <w:fldChar w:fldCharType="begin"/>
      </w:r>
      <w:r>
        <w:rPr>
          <w:noProof/>
        </w:rPr>
        <w:instrText xml:space="preserve"> PAGEREF _Toc278464929 \h </w:instrText>
      </w:r>
      <w:r>
        <w:rPr>
          <w:noProof/>
        </w:rPr>
      </w:r>
      <w:r>
        <w:rPr>
          <w:noProof/>
        </w:rPr>
        <w:fldChar w:fldCharType="separate"/>
      </w:r>
      <w:r>
        <w:rPr>
          <w:noProof/>
        </w:rPr>
        <w:t>74</w:t>
      </w:r>
      <w:r>
        <w:rPr>
          <w:noProof/>
        </w:rPr>
        <w:fldChar w:fldCharType="end"/>
      </w:r>
    </w:p>
    <w:p w14:paraId="72CBA983" w14:textId="77777777" w:rsidR="00AB1470" w:rsidRDefault="00AB1470">
      <w:pPr>
        <w:pStyle w:val="TOC1"/>
        <w:rPr>
          <w:rFonts w:asciiTheme="minorHAnsi" w:eastAsiaTheme="minorEastAsia" w:hAnsiTheme="minorHAnsi" w:cstheme="minorBidi"/>
          <w:b w:val="0"/>
          <w:caps w:val="0"/>
          <w:noProof/>
          <w:kern w:val="0"/>
          <w:sz w:val="24"/>
          <w:szCs w:val="24"/>
          <w:u w:val="none"/>
          <w:lang w:eastAsia="ja-JP"/>
        </w:rPr>
      </w:pPr>
      <w:r>
        <w:rPr>
          <w:noProof/>
        </w:rPr>
        <w:t>Glossary</w:t>
      </w:r>
      <w:r>
        <w:rPr>
          <w:noProof/>
        </w:rPr>
        <w:tab/>
      </w:r>
      <w:r>
        <w:rPr>
          <w:noProof/>
        </w:rPr>
        <w:fldChar w:fldCharType="begin"/>
      </w:r>
      <w:r>
        <w:rPr>
          <w:noProof/>
        </w:rPr>
        <w:instrText xml:space="preserve"> PAGEREF _Toc278464930 \h </w:instrText>
      </w:r>
      <w:r>
        <w:rPr>
          <w:noProof/>
        </w:rPr>
      </w:r>
      <w:r>
        <w:rPr>
          <w:noProof/>
        </w:rPr>
        <w:fldChar w:fldCharType="separate"/>
      </w:r>
      <w:r>
        <w:rPr>
          <w:noProof/>
        </w:rPr>
        <w:t>76</w:t>
      </w:r>
      <w:r>
        <w:rPr>
          <w:noProof/>
        </w:rPr>
        <w:fldChar w:fldCharType="end"/>
      </w:r>
    </w:p>
    <w:p w14:paraId="43936A14" w14:textId="4D07CD47" w:rsidR="00C1421D" w:rsidRDefault="00805D60" w:rsidP="00B65073">
      <w:pPr>
        <w:pStyle w:val="TOC1"/>
        <w:rPr>
          <w:b w:val="0"/>
          <w:bCs/>
          <w:noProof/>
        </w:rPr>
      </w:pPr>
      <w:r>
        <w:rPr>
          <w:b w:val="0"/>
          <w:bCs/>
          <w:noProof/>
        </w:rPr>
        <w:fldChar w:fldCharType="end"/>
      </w:r>
    </w:p>
    <w:p w14:paraId="3F5B0CE3" w14:textId="77777777" w:rsidR="00C1421D" w:rsidRDefault="00C1421D">
      <w:pPr>
        <w:suppressAutoHyphens w:val="0"/>
        <w:rPr>
          <w:bCs/>
          <w:caps/>
          <w:noProof/>
          <w:sz w:val="22"/>
          <w:szCs w:val="22"/>
          <w:u w:val="single"/>
        </w:rPr>
      </w:pPr>
      <w:r>
        <w:rPr>
          <w:b/>
          <w:bCs/>
          <w:noProof/>
        </w:rPr>
        <w:br w:type="page"/>
      </w:r>
    </w:p>
    <w:p w14:paraId="0959545D" w14:textId="78C35908" w:rsidR="004A735F" w:rsidRDefault="004A735F" w:rsidP="004A735F">
      <w:pPr>
        <w:pStyle w:val="Heading1"/>
      </w:pPr>
      <w:bookmarkStart w:id="2" w:name="_Toc376263694"/>
      <w:bookmarkStart w:id="3" w:name="_Toc376263758"/>
      <w:bookmarkStart w:id="4" w:name="_Toc278464891"/>
      <w:r>
        <w:lastRenderedPageBreak/>
        <w:t>Introduction</w:t>
      </w:r>
      <w:bookmarkEnd w:id="2"/>
      <w:bookmarkEnd w:id="3"/>
      <w:bookmarkEnd w:id="4"/>
    </w:p>
    <w:p w14:paraId="6C6A88FE" w14:textId="77777777" w:rsidR="002B7FB8" w:rsidRPr="007E2422" w:rsidRDefault="002B7FB8" w:rsidP="002B7FB8">
      <w:pPr>
        <w:pStyle w:val="BodyText"/>
        <w:ind w:firstLine="720"/>
        <w:rPr>
          <w:highlight w:val="yellow"/>
        </w:rPr>
      </w:pPr>
      <w:r>
        <w:t xml:space="preserve">The GT-DSM tool is a spreadsheet tool designed to help inform the policy discussion surrounding customer-funded utility-implemented energy efficiency programs in the Southeastern United States. It was designed with three goals in mind: accessibility, accuracy, and relevance. As is the case with all models, perfect accuracy is impossible but the tool aims for enough accuracy to inform policy discussions. The tool has the capacity to provide information in the following areas: </w:t>
      </w:r>
    </w:p>
    <w:p w14:paraId="4E1656E8" w14:textId="77777777" w:rsidR="002B7FB8" w:rsidRPr="008849BB" w:rsidRDefault="002B7FB8" w:rsidP="002B7FB8">
      <w:pPr>
        <w:pStyle w:val="BodyText"/>
        <w:numPr>
          <w:ilvl w:val="0"/>
          <w:numId w:val="6"/>
        </w:numPr>
      </w:pPr>
      <w:r>
        <w:t>Comparison of costs of the program to the benefits.</w:t>
      </w:r>
    </w:p>
    <w:p w14:paraId="4A10EC01" w14:textId="77777777" w:rsidR="002B7FB8" w:rsidRPr="008849BB" w:rsidRDefault="002B7FB8" w:rsidP="002B7FB8">
      <w:pPr>
        <w:pStyle w:val="BodyText"/>
        <w:numPr>
          <w:ilvl w:val="0"/>
          <w:numId w:val="6"/>
        </w:numPr>
      </w:pPr>
      <w:r>
        <w:t>Levelized cost of energy saved in the program to compare to the cost of supply side alternatives.</w:t>
      </w:r>
    </w:p>
    <w:p w14:paraId="063AC785" w14:textId="77777777" w:rsidR="002B7FB8" w:rsidRPr="008849BB" w:rsidRDefault="002B7FB8" w:rsidP="002B7FB8">
      <w:pPr>
        <w:pStyle w:val="BodyText"/>
        <w:numPr>
          <w:ilvl w:val="0"/>
          <w:numId w:val="6"/>
        </w:numPr>
      </w:pPr>
      <w:r>
        <w:t>Rate impact of the program and the ultimate bill impact for program participants and non-participants.</w:t>
      </w:r>
    </w:p>
    <w:p w14:paraId="1804F509" w14:textId="77777777" w:rsidR="002B7FB8" w:rsidRPr="008849BB" w:rsidRDefault="002B7FB8" w:rsidP="002B7FB8">
      <w:pPr>
        <w:pStyle w:val="BodyText"/>
        <w:numPr>
          <w:ilvl w:val="0"/>
          <w:numId w:val="6"/>
        </w:numPr>
      </w:pPr>
      <w:r>
        <w:t>Program impact on earnings and rate of return for the utility.</w:t>
      </w:r>
    </w:p>
    <w:p w14:paraId="11392B32" w14:textId="77777777" w:rsidR="002B7FB8" w:rsidRPr="008849BB" w:rsidRDefault="002B7FB8" w:rsidP="002B7FB8">
      <w:pPr>
        <w:pStyle w:val="BodyText"/>
        <w:numPr>
          <w:ilvl w:val="0"/>
          <w:numId w:val="6"/>
        </w:numPr>
      </w:pPr>
      <w:r>
        <w:t>Comparison of alternative mechanisms to recover utility costs and incentives.</w:t>
      </w:r>
    </w:p>
    <w:p w14:paraId="593AD73B" w14:textId="77777777" w:rsidR="002B7FB8" w:rsidRPr="008849BB" w:rsidRDefault="002B7FB8" w:rsidP="002B7FB8">
      <w:pPr>
        <w:pStyle w:val="BodyText"/>
        <w:numPr>
          <w:ilvl w:val="0"/>
          <w:numId w:val="6"/>
        </w:numPr>
      </w:pPr>
      <w:r>
        <w:t>Average fuel cost impacts of change in use and period of use of electricity from program savings.</w:t>
      </w:r>
    </w:p>
    <w:p w14:paraId="415FE9DF" w14:textId="25F22E13" w:rsidR="002B7FB8" w:rsidRPr="00DB42BF" w:rsidRDefault="002B7FB8" w:rsidP="002B7FB8">
      <w:pPr>
        <w:pStyle w:val="BodyText"/>
        <w:ind w:firstLine="576"/>
      </w:pPr>
      <w:r w:rsidRPr="008849BB">
        <w:t xml:space="preserve">The </w:t>
      </w:r>
      <w:r w:rsidR="00B52CF4">
        <w:t xml:space="preserve">portal for the GT-DSM </w:t>
      </w:r>
      <w:r w:rsidRPr="008849BB">
        <w:t xml:space="preserve">tool and </w:t>
      </w:r>
      <w:r>
        <w:t xml:space="preserve">this manual </w:t>
      </w:r>
      <w:r w:rsidR="00B52CF4">
        <w:t>is the website for</w:t>
      </w:r>
      <w:r>
        <w:t xml:space="preserve"> the Georgia Institute of Technology</w:t>
      </w:r>
      <w:r w:rsidR="00B52CF4">
        <w:t>’s</w:t>
      </w:r>
      <w:r>
        <w:t xml:space="preserve"> Climate and Energy Policy Lab</w:t>
      </w:r>
      <w:r>
        <w:rPr>
          <w:rStyle w:val="FootnoteReference"/>
        </w:rPr>
        <w:footnoteReference w:id="5"/>
      </w:r>
      <w:r>
        <w:t xml:space="preserve">. </w:t>
      </w:r>
    </w:p>
    <w:p w14:paraId="179BD805" w14:textId="77777777" w:rsidR="002B7FB8" w:rsidRDefault="002B7FB8" w:rsidP="002B7FB8">
      <w:pPr>
        <w:pStyle w:val="Heading2"/>
      </w:pPr>
      <w:bookmarkStart w:id="5" w:name="_Toc250971599"/>
      <w:bookmarkStart w:id="6" w:name="_Toc278464892"/>
      <w:r>
        <w:t>Model Description</w:t>
      </w:r>
      <w:bookmarkEnd w:id="5"/>
      <w:bookmarkEnd w:id="6"/>
    </w:p>
    <w:p w14:paraId="50BB00A5" w14:textId="77777777" w:rsidR="002B7FB8" w:rsidRDefault="002B7FB8" w:rsidP="002B7FB8">
      <w:pPr>
        <w:pStyle w:val="BodyText"/>
        <w:ind w:firstLine="432"/>
      </w:pPr>
      <w:r>
        <w:t xml:space="preserve">The model is laid out in Sectors that cover broadly different groups in the energy system. Within each Sector there are various Modules that cover different categories of impacts from energy efficiency programs. Modules may also contain various Sub-Modules that are targeted at specific aspects of energy efficiency program impacts. </w:t>
      </w:r>
    </w:p>
    <w:p w14:paraId="3114A910" w14:textId="77777777" w:rsidR="002B7FB8" w:rsidRDefault="002B7FB8" w:rsidP="002B7FB8">
      <w:pPr>
        <w:pStyle w:val="BodyText"/>
        <w:ind w:firstLine="432"/>
      </w:pPr>
      <w:r>
        <w:t xml:space="preserve">There are two Sectors in the tool: the Customer Sector and the Utility Sector. The Customer Sector focuses on the electricity rate and utility bill and how an energy efficiency program affects them. To this end, the Customer Sector has two modules: the Rate Impact Module and the Bill Impact Module. </w:t>
      </w:r>
    </w:p>
    <w:p w14:paraId="00A68C9B" w14:textId="77777777" w:rsidR="002B7FB8" w:rsidRDefault="002B7FB8" w:rsidP="002B7FB8">
      <w:pPr>
        <w:pStyle w:val="BodyText"/>
        <w:ind w:firstLine="432"/>
      </w:pPr>
      <w:r>
        <w:t xml:space="preserve">The Utility Sector focuses on the revenue and costs of the utility and how an energy efficiency program affects them. To this end, the Utility Sector has three modules: the Performance Incentive Module, the Deferred Capital Investment Module, and the Rate Case Module. </w:t>
      </w:r>
    </w:p>
    <w:p w14:paraId="106CB5DB" w14:textId="77777777" w:rsidR="002B7FB8" w:rsidRDefault="002B7FB8" w:rsidP="002B7FB8">
      <w:pPr>
        <w:pStyle w:val="BodyText"/>
        <w:ind w:firstLine="432"/>
      </w:pPr>
      <w:r>
        <w:t xml:space="preserve">The general concept is to allow users to select which Modules and Sub-Modules to use and still provide a useful analysis from the tool. In the case of the Customer Sector, there are also multiple iterations of all of the Modules to allow for multiple Customer Classes with independent energy efficiency programs to be analyzed for one utility. For each Sector, only the Fundamental Sub-Module is mandatory to </w:t>
      </w:r>
      <w:r>
        <w:lastRenderedPageBreak/>
        <w:t>complete an analysis; all other Sub-Modules are optional but supply potentially valuable data.</w:t>
      </w:r>
    </w:p>
    <w:p w14:paraId="35895818" w14:textId="77777777" w:rsidR="002B7FB8" w:rsidRDefault="002B7FB8" w:rsidP="002B7FB8">
      <w:pPr>
        <w:pStyle w:val="Heading2"/>
      </w:pPr>
      <w:bookmarkStart w:id="7" w:name="_Toc250971600"/>
      <w:bookmarkStart w:id="8" w:name="_Toc278464893"/>
      <w:r>
        <w:t>Model Usage</w:t>
      </w:r>
      <w:bookmarkEnd w:id="7"/>
      <w:bookmarkEnd w:id="8"/>
    </w:p>
    <w:p w14:paraId="71056546" w14:textId="77777777" w:rsidR="002B7FB8" w:rsidRDefault="002B7FB8" w:rsidP="002B7FB8">
      <w:pPr>
        <w:pStyle w:val="BodyText"/>
        <w:ind w:firstLine="432"/>
      </w:pPr>
      <w:r>
        <w:t xml:space="preserve">This tool has a wide range of uses. These include evaluating proposed programs or alternative scenarios. The tool is designed to address the areas discussed previously with the outputs given. This tool is not, however, a resource planning tool. The goal of the tool is to inform policy discussions with information on general direction and scale but not real numbers. </w:t>
      </w:r>
    </w:p>
    <w:p w14:paraId="52E2DC0C" w14:textId="3C4D0699" w:rsidR="001E56D8" w:rsidRDefault="00832BAF" w:rsidP="004A735F">
      <w:pPr>
        <w:pStyle w:val="BodyText"/>
        <w:ind w:firstLine="432"/>
        <w:rPr>
          <w:rFonts w:ascii="Calibri" w:hAnsi="Calibri" w:cs="Calibri"/>
          <w:b/>
          <w:bCs/>
          <w:color w:val="4F81BD"/>
          <w:sz w:val="26"/>
          <w:szCs w:val="26"/>
        </w:rPr>
      </w:pPr>
      <w:r>
        <w:t xml:space="preserve">The GT-DSM tool has been developed for both the Windows and Mac operating systems. </w:t>
      </w:r>
      <w:r w:rsidR="002B7FB8" w:rsidDel="002B7FB8">
        <w:t xml:space="preserve"> </w:t>
      </w:r>
      <w:r>
        <w:t>It runs in Microsoft Excel</w:t>
      </w:r>
      <w:r w:rsidR="000D04EE">
        <w:t xml:space="preserve"> 2007 or later</w:t>
      </w:r>
      <w:r>
        <w:t xml:space="preserve"> as well as Apache OpenOffice.</w:t>
      </w:r>
      <w:r w:rsidR="004A735F">
        <w:rPr>
          <w:rFonts w:ascii="Calibri" w:hAnsi="Calibri" w:cs="Calibri"/>
          <w:b/>
          <w:bCs/>
          <w:color w:val="4F81BD"/>
          <w:sz w:val="26"/>
          <w:szCs w:val="26"/>
        </w:rPr>
        <w:t xml:space="preserve"> </w:t>
      </w:r>
    </w:p>
    <w:p w14:paraId="64209053" w14:textId="77777777" w:rsidR="00B63337" w:rsidRDefault="00B63337" w:rsidP="00B63337">
      <w:pPr>
        <w:pStyle w:val="Heading2"/>
      </w:pPr>
      <w:bookmarkStart w:id="9" w:name="_Toc278464894"/>
      <w:r>
        <w:t>Manual Introduction</w:t>
      </w:r>
      <w:bookmarkEnd w:id="9"/>
    </w:p>
    <w:p w14:paraId="504DA36F" w14:textId="77777777" w:rsidR="00B63337" w:rsidRDefault="00B63337" w:rsidP="00B63337">
      <w:pPr>
        <w:spacing w:line="276" w:lineRule="auto"/>
        <w:ind w:firstLine="432"/>
      </w:pPr>
      <w:r>
        <w:t xml:space="preserve">The manual for the GT-DSM tool contains three main parts. The first is a description of the inputs. The second section contains brief descriptions of the important calculations carried out within the tool. The final section contains descriptions of the output from the tool, for clarity. </w:t>
      </w:r>
    </w:p>
    <w:p w14:paraId="4D83A6A6" w14:textId="77777777" w:rsidR="00B63337" w:rsidRDefault="00B63337" w:rsidP="00B63337">
      <w:pPr>
        <w:spacing w:line="276" w:lineRule="auto"/>
        <w:ind w:firstLine="432"/>
      </w:pPr>
      <w:r>
        <w:t xml:space="preserve">The GT-DSM tool is designed by Sector, Module, and Sub-Module. Each of the three sections is broken down by these categories. </w:t>
      </w:r>
    </w:p>
    <w:p w14:paraId="4E9D1987" w14:textId="77777777" w:rsidR="00B63337" w:rsidRDefault="00B63337" w:rsidP="00B63337">
      <w:pPr>
        <w:spacing w:line="276" w:lineRule="auto"/>
        <w:ind w:firstLine="432"/>
      </w:pPr>
      <w:r>
        <w:t>The purpose of this manual is to provide an easy reference for information on the GT-DSM tool. This includes a more in depth description of the components and the terminology as well as the methods chosen for calculations. This should make the tool more accessible than a spreadsheet.</w:t>
      </w:r>
    </w:p>
    <w:p w14:paraId="5E17ECE2" w14:textId="3F84D749" w:rsidR="0070727F" w:rsidRDefault="0070727F" w:rsidP="0070727F">
      <w:pPr>
        <w:pStyle w:val="Heading2"/>
      </w:pPr>
      <w:bookmarkStart w:id="10" w:name="_Toc278464895"/>
      <w:r>
        <w:t>Copyright</w:t>
      </w:r>
      <w:bookmarkEnd w:id="10"/>
      <w:r>
        <w:t xml:space="preserve"> </w:t>
      </w:r>
    </w:p>
    <w:p w14:paraId="6CB93F18" w14:textId="17654C00" w:rsidR="00F77433" w:rsidRDefault="0070727F" w:rsidP="00F77433">
      <w:pPr>
        <w:spacing w:line="276" w:lineRule="auto"/>
        <w:ind w:firstLine="432"/>
      </w:pPr>
      <w:r w:rsidRPr="0070727F">
        <w:t>GT-DSM is free software; you can redistribute it and/or modify it under the terms of the GNU General Public License</w:t>
      </w:r>
      <w:r>
        <w:t xml:space="preserve"> (</w:t>
      </w:r>
      <w:hyperlink r:id="rId17" w:history="1">
        <w:r w:rsidR="00F77433" w:rsidRPr="00F10990">
          <w:rPr>
            <w:rStyle w:val="Hyperlink"/>
          </w:rPr>
          <w:t>http://opensource.org/licenses/GPL-2.0</w:t>
        </w:r>
      </w:hyperlink>
      <w:r w:rsidR="00F77433">
        <w:t>)</w:t>
      </w:r>
      <w:r w:rsidRPr="0070727F">
        <w:t xml:space="preserve"> as published by the Free Software Foundation</w:t>
      </w:r>
      <w:r w:rsidR="00F77433">
        <w:t xml:space="preserve">. </w:t>
      </w:r>
    </w:p>
    <w:p w14:paraId="335E6E00" w14:textId="19B66F43" w:rsidR="0070727F" w:rsidRPr="0070727F" w:rsidRDefault="0070727F" w:rsidP="00F77433">
      <w:pPr>
        <w:spacing w:line="276" w:lineRule="auto"/>
        <w:ind w:firstLine="432"/>
      </w:pPr>
      <w:r w:rsidRPr="0070727F">
        <w:t>This program is distributed in the hope that it will be useful, but WITHOUT ANY WARRANTY; without even the implied warranty of MERCHANTABILITY or FITNESS FOR A PARTICULAR PURPOSE. See the GNU General Public License for more details.</w:t>
      </w:r>
      <w:r w:rsidR="00F77433">
        <w:t xml:space="preserve"> </w:t>
      </w:r>
    </w:p>
    <w:p w14:paraId="7490A679" w14:textId="21BBB289" w:rsidR="0070727F" w:rsidRPr="0070727F" w:rsidRDefault="0070727F" w:rsidP="0070727F">
      <w:pPr>
        <w:spacing w:line="276" w:lineRule="auto"/>
        <w:ind w:firstLine="432"/>
      </w:pPr>
      <w:r w:rsidRPr="0070727F">
        <w:t> You should have received a copy of the GNU General Public License along with this program; if not, write to the Free Software Foundation, Inc., 59 Temple Place, Suite 330, Boston, MA 02111-1307 USA</w:t>
      </w:r>
    </w:p>
    <w:p w14:paraId="56E7852C" w14:textId="09294105" w:rsidR="0070727F" w:rsidRDefault="0070727F" w:rsidP="00B63337">
      <w:pPr>
        <w:spacing w:line="276" w:lineRule="auto"/>
        <w:ind w:firstLine="432"/>
      </w:pPr>
      <w:r w:rsidRPr="0070727F">
        <w:t> For additional information, contact Professor Marilyn A. Brown, School of Public Policy, Georgia Institute of Technology</w:t>
      </w:r>
      <w:r>
        <w:t xml:space="preserve"> </w:t>
      </w:r>
      <w:r w:rsidRPr="0070727F">
        <w:t>at</w:t>
      </w:r>
      <w:r>
        <w:t xml:space="preserve"> </w:t>
      </w:r>
      <w:hyperlink r:id="rId18" w:tgtFrame="_blank" w:history="1">
        <w:r w:rsidRPr="0070727F">
          <w:rPr>
            <w:rStyle w:val="Hyperlink"/>
          </w:rPr>
          <w:t>marilyn.brown@pubpolicy.gatech.edu</w:t>
        </w:r>
      </w:hyperlink>
      <w:r w:rsidRPr="0070727F">
        <w:t>, </w:t>
      </w:r>
      <w:hyperlink r:id="rId19" w:tgtFrame="_blank" w:history="1">
        <w:r w:rsidRPr="0070727F">
          <w:rPr>
            <w:rStyle w:val="Hyperlink"/>
          </w:rPr>
          <w:t>404-385-0303</w:t>
        </w:r>
      </w:hyperlink>
      <w:r w:rsidRPr="0070727F">
        <w:t>.</w:t>
      </w:r>
      <w:r w:rsidR="00F77433">
        <w:t xml:space="preserve"> </w:t>
      </w:r>
    </w:p>
    <w:p w14:paraId="7BE9271B" w14:textId="77777777" w:rsidR="00B63337" w:rsidRPr="00B63337" w:rsidRDefault="00B63337" w:rsidP="00B63337">
      <w:pPr>
        <w:pStyle w:val="BodyText"/>
      </w:pPr>
    </w:p>
    <w:p w14:paraId="3A8E398F" w14:textId="77777777" w:rsidR="00B63337" w:rsidRDefault="00B63337" w:rsidP="00B63337">
      <w:pPr>
        <w:pStyle w:val="BodyText"/>
        <w:rPr>
          <w:rFonts w:ascii="Calibri" w:hAnsi="Calibri" w:cs="Calibri"/>
          <w:b/>
          <w:bCs/>
          <w:color w:val="4F81BD"/>
          <w:sz w:val="26"/>
          <w:szCs w:val="26"/>
        </w:rPr>
      </w:pPr>
    </w:p>
    <w:p w14:paraId="7D42FB70" w14:textId="77777777" w:rsidR="001E56D8" w:rsidRDefault="001E56D8">
      <w:pPr>
        <w:pStyle w:val="Heading1"/>
        <w:pageBreakBefore/>
        <w:spacing w:line="276" w:lineRule="auto"/>
      </w:pPr>
      <w:bookmarkStart w:id="11" w:name="__RefHeading__724_1188058509"/>
      <w:bookmarkStart w:id="12" w:name="_Toc376263697"/>
      <w:bookmarkStart w:id="13" w:name="_Toc376263761"/>
      <w:bookmarkStart w:id="14" w:name="_Toc278464896"/>
      <w:bookmarkEnd w:id="11"/>
      <w:r>
        <w:t>Inputs</w:t>
      </w:r>
      <w:bookmarkEnd w:id="12"/>
      <w:bookmarkEnd w:id="13"/>
      <w:bookmarkEnd w:id="14"/>
    </w:p>
    <w:p w14:paraId="2909A0A6" w14:textId="77777777" w:rsidR="000B41FD" w:rsidRDefault="001E56D8">
      <w:pPr>
        <w:spacing w:line="276" w:lineRule="auto"/>
        <w:ind w:firstLine="576"/>
      </w:pPr>
      <w:r>
        <w:t>The inputs for the model are listed within the following section</w:t>
      </w:r>
      <w:r w:rsidR="00DA2A9D">
        <w:t xml:space="preserve"> (Section 2)</w:t>
      </w:r>
      <w:r>
        <w:t xml:space="preserve"> and contain the name of the input and a brief description. Some of the more abstract inputs also list methods or supplementary tools useful in calculating them. The data listed in the images are based on </w:t>
      </w:r>
      <w:r w:rsidR="00AB1ABE">
        <w:t>one or more Southeastern utilities</w:t>
      </w:r>
      <w:r>
        <w:t xml:space="preserve"> </w:t>
      </w:r>
      <w:r w:rsidR="00AB1ABE">
        <w:t xml:space="preserve">and </w:t>
      </w:r>
      <w:r>
        <w:t>should only be considered examples of possible data.</w:t>
      </w:r>
    </w:p>
    <w:p w14:paraId="283CC1E6" w14:textId="30C69066" w:rsidR="002B7FB8" w:rsidRDefault="003A256E" w:rsidP="00E22B98">
      <w:pPr>
        <w:spacing w:line="276" w:lineRule="auto"/>
      </w:pPr>
      <w:r>
        <w:rPr>
          <w:i/>
        </w:rPr>
        <w:tab/>
      </w:r>
      <w:r w:rsidRPr="00E22B98">
        <w:t>Many</w:t>
      </w:r>
      <w:r>
        <w:t xml:space="preserve"> of the inputs requested are accompanied by requests for growth rate assumptions, i.e. rates by which the input value will increase in each year of the model forecast. Source documents and calculation descriptions are suggested to the user for deriving these escalation rates. Users should beware of cases in which historic trends in escalation of any variable may not be commensurate with </w:t>
      </w:r>
      <w:r w:rsidR="00E22B98">
        <w:t>expected</w:t>
      </w:r>
      <w:r>
        <w:t xml:space="preserve"> future trends, however. For example, a sudden financial crisis and subsequent recession would cause expected sales growth rates to be much lower in periods following the crisis than the actual growth rates of periods prior to the crisis. Users are advised to take into account reputable sources’ expectations about future trends in relevant variables when deriving growth rate inputs for use in the model. </w:t>
      </w:r>
    </w:p>
    <w:p w14:paraId="0BB8460C" w14:textId="7D6D620A" w:rsidR="002B7FB8" w:rsidRDefault="002B7FB8" w:rsidP="002B7FB8">
      <w:pPr>
        <w:spacing w:line="276" w:lineRule="auto"/>
        <w:ind w:firstLine="576"/>
      </w:pPr>
      <w:r>
        <w:t>Some of the values entered as example data can be used as default values. These tend to be the more abstract values such as discount rates. In the case that this is appropriate, some justification of the value is given in the manual. Values should not be used as a default value in cases w</w:t>
      </w:r>
      <w:r w:rsidR="0028593D">
        <w:t>h</w:t>
      </w:r>
      <w:r>
        <w:t xml:space="preserve">ere utility or program specific data is needed. </w:t>
      </w:r>
    </w:p>
    <w:p w14:paraId="6FD0B771" w14:textId="77777777" w:rsidR="001E56D8" w:rsidRDefault="001E56D8" w:rsidP="00E22B98">
      <w:pPr>
        <w:spacing w:line="276" w:lineRule="auto"/>
        <w:ind w:firstLine="720"/>
      </w:pPr>
      <w:r>
        <w:t>The general format is as follows:</w:t>
      </w:r>
    </w:p>
    <w:p w14:paraId="351A57E6" w14:textId="77777777" w:rsidR="001E56D8" w:rsidRDefault="001E56D8">
      <w:pPr>
        <w:spacing w:line="276" w:lineRule="auto"/>
        <w:ind w:firstLine="576"/>
      </w:pPr>
    </w:p>
    <w:p w14:paraId="4EAAD11F" w14:textId="77777777" w:rsidR="001E56D8" w:rsidRDefault="001E56D8">
      <w:pPr>
        <w:spacing w:line="276" w:lineRule="auto"/>
        <w:ind w:firstLine="720"/>
      </w:pPr>
      <w:r>
        <w:t>Name of Input</w:t>
      </w:r>
    </w:p>
    <w:p w14:paraId="0A255F71" w14:textId="77777777" w:rsidR="001E56D8" w:rsidRDefault="001E56D8">
      <w:pPr>
        <w:spacing w:line="276" w:lineRule="auto"/>
        <w:ind w:left="180" w:firstLine="720"/>
      </w:pPr>
      <w:r>
        <w:t xml:space="preserve">Units: The units </w:t>
      </w:r>
      <w:r w:rsidR="00AB1ABE">
        <w:t xml:space="preserve">for the input that </w:t>
      </w:r>
      <w:r>
        <w:t>the model expects</w:t>
      </w:r>
      <w:r w:rsidR="00AB1ABE">
        <w:t>.</w:t>
      </w:r>
    </w:p>
    <w:p w14:paraId="56CB28F9" w14:textId="77777777" w:rsidR="001E56D8" w:rsidRDefault="001E56D8">
      <w:pPr>
        <w:spacing w:line="276" w:lineRule="auto"/>
        <w:ind w:left="180" w:firstLine="720"/>
      </w:pPr>
      <w:r>
        <w:t>Description:</w:t>
      </w:r>
    </w:p>
    <w:p w14:paraId="4AEFB7C4" w14:textId="77777777" w:rsidR="001E56D8" w:rsidRDefault="001E56D8">
      <w:pPr>
        <w:spacing w:line="276" w:lineRule="auto"/>
        <w:ind w:left="1440"/>
      </w:pPr>
      <w:r>
        <w:t>A rough but more detailed description of the input. May include description of averaging method or use in the model.</w:t>
      </w:r>
    </w:p>
    <w:p w14:paraId="6969B5D7" w14:textId="77777777" w:rsidR="001E56D8" w:rsidRDefault="001E56D8">
      <w:pPr>
        <w:spacing w:line="276" w:lineRule="auto"/>
        <w:ind w:firstLine="870"/>
      </w:pPr>
      <w:r>
        <w:t xml:space="preserve"> Example Calculation:</w:t>
      </w:r>
    </w:p>
    <w:p w14:paraId="1771D891" w14:textId="77777777" w:rsidR="00D77B16" w:rsidRDefault="00D77B16" w:rsidP="00D77B16">
      <w:pPr>
        <w:spacing w:line="276" w:lineRule="auto"/>
        <w:ind w:left="1425" w:firstLine="15"/>
      </w:pPr>
      <w:r>
        <w:t xml:space="preserve">Suggestion </w:t>
      </w:r>
      <w:r w:rsidR="001E56D8">
        <w:t>of how the input may be calculated from available data.</w:t>
      </w:r>
    </w:p>
    <w:p w14:paraId="058DF5E4" w14:textId="77777777" w:rsidR="001E56D8" w:rsidRPr="00EF46B8" w:rsidRDefault="00D77B16" w:rsidP="00EF46B8">
      <w:pPr>
        <w:spacing w:line="276" w:lineRule="auto"/>
        <w:jc w:val="center"/>
        <w:rPr>
          <w:i/>
        </w:rPr>
      </w:pPr>
      <w:r>
        <w:rPr>
          <w:i/>
        </w:rPr>
        <w:t>May include a formula.</w:t>
      </w:r>
    </w:p>
    <w:p w14:paraId="321EDCAF" w14:textId="5E789AEA" w:rsidR="001E56D8" w:rsidRDefault="001E56D8">
      <w:pPr>
        <w:spacing w:line="276" w:lineRule="auto"/>
        <w:ind w:left="1425" w:hanging="555"/>
      </w:pPr>
      <w:r>
        <w:t>Source: Known and publicly available source for the data including tips on how to find it.</w:t>
      </w:r>
      <w:r w:rsidR="002B7FB8">
        <w:t xml:space="preserve"> Sources are listed based on the reliability or the data supplied. </w:t>
      </w:r>
    </w:p>
    <w:p w14:paraId="2569BF8C" w14:textId="64E6183A" w:rsidR="00B65073" w:rsidRDefault="00B65073">
      <w:pPr>
        <w:suppressAutoHyphens w:val="0"/>
      </w:pPr>
      <w:r>
        <w:br w:type="page"/>
      </w:r>
    </w:p>
    <w:p w14:paraId="31179107" w14:textId="77777777" w:rsidR="001E56D8" w:rsidRDefault="001E56D8">
      <w:pPr>
        <w:pStyle w:val="Heading2"/>
        <w:pageBreakBefore/>
      </w:pPr>
      <w:bookmarkStart w:id="15" w:name="__RefHeading__726_1188058509"/>
      <w:bookmarkStart w:id="16" w:name="_Toc376263698"/>
      <w:bookmarkStart w:id="17" w:name="_Toc376263762"/>
      <w:bookmarkStart w:id="18" w:name="_Toc278464897"/>
      <w:bookmarkEnd w:id="15"/>
      <w:r>
        <w:t>Customer Sector</w:t>
      </w:r>
      <w:bookmarkEnd w:id="16"/>
      <w:bookmarkEnd w:id="17"/>
      <w:bookmarkEnd w:id="18"/>
    </w:p>
    <w:p w14:paraId="70238D76" w14:textId="77777777" w:rsidR="00AB1ABE" w:rsidRDefault="001E56D8" w:rsidP="007524FE">
      <w:pPr>
        <w:spacing w:line="276" w:lineRule="auto"/>
        <w:ind w:firstLine="720"/>
      </w:pPr>
      <w:r>
        <w:t>The Customer Sector contains two modules: the Rate Impact Module and the Bill Impact Module. The bill module relies heavily on the rate module and can only be used roughly on its own.</w:t>
      </w:r>
    </w:p>
    <w:p w14:paraId="2A874B9C" w14:textId="77777777" w:rsidR="00107D6B" w:rsidRDefault="00107D6B" w:rsidP="007524FE">
      <w:pPr>
        <w:spacing w:line="276" w:lineRule="auto"/>
        <w:ind w:firstLine="720"/>
      </w:pPr>
    </w:p>
    <w:p w14:paraId="236C7A0A" w14:textId="1392875C" w:rsidR="00107D6B" w:rsidRDefault="00107D6B" w:rsidP="00107D6B">
      <w:pPr>
        <w:pStyle w:val="Heading3"/>
      </w:pPr>
      <w:bookmarkStart w:id="19" w:name="_Toc278464898"/>
      <w:r>
        <w:t>Customer Sector Base Inputs</w:t>
      </w:r>
      <w:bookmarkEnd w:id="19"/>
    </w:p>
    <w:p w14:paraId="1EF6D27E" w14:textId="46FFE6C2" w:rsidR="001E56D8" w:rsidRDefault="001E56D8">
      <w:pPr>
        <w:spacing w:line="276" w:lineRule="auto"/>
        <w:ind w:firstLine="720"/>
      </w:pPr>
      <w:r>
        <w:t xml:space="preserve">The Customer Sector Base Inputs, shown below for Residential customers, </w:t>
      </w:r>
      <w:r w:rsidR="00453123">
        <w:t>are general inputs used in both</w:t>
      </w:r>
      <w:r w:rsidR="00AB1ABE">
        <w:t xml:space="preserve"> the </w:t>
      </w:r>
      <w:r w:rsidR="00DA5279">
        <w:t>C</w:t>
      </w:r>
      <w:r w:rsidR="00AB1ABE">
        <w:t xml:space="preserve">ustomer </w:t>
      </w:r>
      <w:r w:rsidR="00136402">
        <w:t>and Utility</w:t>
      </w:r>
      <w:r w:rsidR="00AB1ABE">
        <w:t xml:space="preserve"> </w:t>
      </w:r>
      <w:r w:rsidR="00DA5279">
        <w:t xml:space="preserve">Sectors </w:t>
      </w:r>
      <w:r w:rsidR="00AB1ABE">
        <w:t>of the tool</w:t>
      </w:r>
      <w:r w:rsidR="008920D8">
        <w:t>.</w:t>
      </w:r>
    </w:p>
    <w:p w14:paraId="79DCE28F" w14:textId="77777777" w:rsidR="008920D8" w:rsidRDefault="008920D8">
      <w:pPr>
        <w:spacing w:line="276" w:lineRule="auto"/>
        <w:ind w:firstLine="720"/>
      </w:pPr>
    </w:p>
    <w:p w14:paraId="7DF5F187" w14:textId="62448631" w:rsidR="001E56D8" w:rsidRDefault="008920D8" w:rsidP="008920D8">
      <w:pPr>
        <w:spacing w:line="276" w:lineRule="auto"/>
        <w:jc w:val="center"/>
      </w:pPr>
      <w:r>
        <w:rPr>
          <w:noProof/>
          <w:lang w:eastAsia="en-US"/>
        </w:rPr>
        <w:drawing>
          <wp:inline distT="0" distB="0" distL="0" distR="0" wp14:anchorId="38D9A440" wp14:editId="08E26945">
            <wp:extent cx="3707769" cy="4051300"/>
            <wp:effectExtent l="0" t="0" r="635" b="0"/>
            <wp:docPr id="3" name="Picture 3" descr="Macintosh HD:Users:Ben:Desktop:Screen Shot 2014-10-28 at 2.28.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esktop:Screen Shot 2014-10-28 at 2.28.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7769" cy="4051300"/>
                    </a:xfrm>
                    <a:prstGeom prst="rect">
                      <a:avLst/>
                    </a:prstGeom>
                    <a:noFill/>
                    <a:ln>
                      <a:noFill/>
                    </a:ln>
                  </pic:spPr>
                </pic:pic>
              </a:graphicData>
            </a:graphic>
          </wp:inline>
        </w:drawing>
      </w:r>
    </w:p>
    <w:p w14:paraId="5F3FCC5D" w14:textId="77777777" w:rsidR="001E56D8" w:rsidRDefault="001E56D8">
      <w:pPr>
        <w:spacing w:line="276" w:lineRule="auto"/>
        <w:ind w:firstLine="720"/>
      </w:pPr>
    </w:p>
    <w:p w14:paraId="2D900399" w14:textId="4B04D195" w:rsidR="001E56D8" w:rsidRDefault="001E56D8">
      <w:pPr>
        <w:spacing w:line="276" w:lineRule="auto"/>
        <w:ind w:firstLine="720"/>
      </w:pPr>
      <w:r>
        <w:t>Year Zero</w:t>
      </w:r>
      <w:r w:rsidR="008920D8">
        <w:t xml:space="preserve"> – Y0</w:t>
      </w:r>
    </w:p>
    <w:p w14:paraId="08E6C912" w14:textId="77777777" w:rsidR="001E56D8" w:rsidRDefault="001E56D8">
      <w:pPr>
        <w:spacing w:line="276" w:lineRule="auto"/>
        <w:ind w:left="180" w:firstLine="720"/>
      </w:pPr>
      <w:r>
        <w:t>Units: years</w:t>
      </w:r>
    </w:p>
    <w:p w14:paraId="18BC6BC4" w14:textId="77777777" w:rsidR="001E56D8" w:rsidRDefault="001E56D8">
      <w:pPr>
        <w:spacing w:line="276" w:lineRule="auto"/>
        <w:ind w:left="180" w:firstLine="720"/>
      </w:pPr>
      <w:r>
        <w:t>Description:</w:t>
      </w:r>
    </w:p>
    <w:p w14:paraId="0F7F08D6" w14:textId="77777777" w:rsidR="001E56D8" w:rsidRDefault="001E56D8">
      <w:pPr>
        <w:spacing w:line="276" w:lineRule="auto"/>
        <w:ind w:left="1440"/>
      </w:pPr>
      <w:r>
        <w:t xml:space="preserve">This input is asking for the year being considered year zero (Y0) in the analysis.  By convention, this is being considered the year before the energy efficiency program being evaluated is first implemented. This is used </w:t>
      </w:r>
      <w:r w:rsidR="007976DB">
        <w:t xml:space="preserve">only </w:t>
      </w:r>
      <w:r>
        <w:t xml:space="preserve">to </w:t>
      </w:r>
      <w:r w:rsidR="007976DB">
        <w:t>identify the years presented in the outputs</w:t>
      </w:r>
      <w:r>
        <w:t xml:space="preserve">. </w:t>
      </w:r>
    </w:p>
    <w:p w14:paraId="1BAD7A4A" w14:textId="77777777" w:rsidR="00EE6B91" w:rsidRDefault="00EE6B91" w:rsidP="008920D8">
      <w:pPr>
        <w:spacing w:line="276" w:lineRule="auto"/>
        <w:ind w:firstLine="360"/>
        <w:rPr>
          <w:i/>
        </w:rPr>
      </w:pPr>
    </w:p>
    <w:p w14:paraId="693917B6" w14:textId="77777777" w:rsidR="00EE6B91" w:rsidRDefault="00EE6B91" w:rsidP="008920D8">
      <w:pPr>
        <w:spacing w:line="276" w:lineRule="auto"/>
        <w:ind w:firstLine="360"/>
        <w:rPr>
          <w:i/>
        </w:rPr>
      </w:pPr>
    </w:p>
    <w:p w14:paraId="25FEB2A8" w14:textId="441A13D3" w:rsidR="00473BF1" w:rsidRPr="008920D8" w:rsidRDefault="008920D8" w:rsidP="008920D8">
      <w:pPr>
        <w:spacing w:line="276" w:lineRule="auto"/>
        <w:ind w:firstLine="360"/>
        <w:rPr>
          <w:i/>
        </w:rPr>
      </w:pPr>
      <w:r w:rsidRPr="008920D8">
        <w:rPr>
          <w:i/>
        </w:rPr>
        <w:t>Customer Info:</w:t>
      </w:r>
    </w:p>
    <w:p w14:paraId="1ADA6BEC" w14:textId="77777777" w:rsidR="001E56D8" w:rsidRDefault="001E56D8">
      <w:pPr>
        <w:spacing w:line="276" w:lineRule="auto"/>
        <w:ind w:firstLine="720"/>
      </w:pPr>
      <w:r>
        <w:rPr>
          <w:u w:val="single"/>
        </w:rPr>
        <w:t>Sales:</w:t>
      </w:r>
    </w:p>
    <w:p w14:paraId="486AF262" w14:textId="77777777" w:rsidR="001E56D8" w:rsidRDefault="001E56D8">
      <w:pPr>
        <w:spacing w:line="276" w:lineRule="auto"/>
      </w:pPr>
      <w:r>
        <w:tab/>
        <w:t>Sales in Y0</w:t>
      </w:r>
    </w:p>
    <w:p w14:paraId="49E1758A" w14:textId="77777777" w:rsidR="001E56D8" w:rsidRDefault="001E56D8">
      <w:pPr>
        <w:spacing w:line="276" w:lineRule="auto"/>
        <w:ind w:left="144" w:firstLine="720"/>
      </w:pPr>
      <w:r>
        <w:t>Units: kWh</w:t>
      </w:r>
    </w:p>
    <w:p w14:paraId="69670419" w14:textId="77777777" w:rsidR="001E56D8" w:rsidRDefault="001E56D8">
      <w:pPr>
        <w:spacing w:line="276" w:lineRule="auto"/>
        <w:ind w:left="144" w:firstLine="720"/>
      </w:pPr>
      <w:r>
        <w:t>Description:</w:t>
      </w:r>
    </w:p>
    <w:p w14:paraId="30153289" w14:textId="77777777" w:rsidR="001E56D8" w:rsidRDefault="001E56D8">
      <w:pPr>
        <w:spacing w:line="276" w:lineRule="auto"/>
        <w:ind w:left="1440"/>
      </w:pPr>
      <w:r>
        <w:t xml:space="preserve">This input is asking for the total </w:t>
      </w:r>
      <w:r w:rsidR="007976DB">
        <w:t>retail sales to the customer class</w:t>
      </w:r>
      <w:r w:rsidR="00B44214">
        <w:rPr>
          <w:rStyle w:val="FootnoteReference"/>
        </w:rPr>
        <w:footnoteReference w:id="6"/>
      </w:r>
      <w:r w:rsidR="007976DB">
        <w:t xml:space="preserve"> (e.g. Residential</w:t>
      </w:r>
      <w:r w:rsidR="00B44214">
        <w:t xml:space="preserve"> or Com</w:t>
      </w:r>
      <w:r w:rsidR="00AC124C">
        <w:t>m</w:t>
      </w:r>
      <w:r w:rsidR="00B44214">
        <w:t>ercial &amp; Industrial)</w:t>
      </w:r>
      <w:r>
        <w:t>.  The data does not have to be from the actual year zero but can instead be from the most recent year for which data is available.</w:t>
      </w:r>
    </w:p>
    <w:p w14:paraId="38408A7C" w14:textId="77777777" w:rsidR="001E56D8" w:rsidRDefault="001E56D8">
      <w:pPr>
        <w:spacing w:line="276" w:lineRule="auto"/>
        <w:ind w:left="885"/>
      </w:pPr>
      <w:r>
        <w:t xml:space="preserve">Source: </w:t>
      </w:r>
      <w:hyperlink r:id="rId21" w:history="1">
        <w:r>
          <w:rPr>
            <w:rStyle w:val="Hyperlink"/>
          </w:rPr>
          <w:t>SEC</w:t>
        </w:r>
      </w:hyperlink>
      <w:hyperlink r:id="rId22" w:history="1">
        <w:r>
          <w:rPr>
            <w:rStyle w:val="Hyperlink"/>
          </w:rPr>
          <w:t xml:space="preserve"> 10-K</w:t>
        </w:r>
      </w:hyperlink>
      <w:r w:rsidR="00F8159F">
        <w:rPr>
          <w:rStyle w:val="FootnoteReference"/>
        </w:rPr>
        <w:footnoteReference w:id="7"/>
      </w:r>
      <w:r>
        <w:t>, search Energy Sales</w:t>
      </w:r>
    </w:p>
    <w:p w14:paraId="1F0D9349" w14:textId="77777777" w:rsidR="001E56D8" w:rsidRDefault="001E56D8">
      <w:pPr>
        <w:spacing w:line="276" w:lineRule="auto"/>
      </w:pPr>
    </w:p>
    <w:p w14:paraId="66D821FF" w14:textId="77777777" w:rsidR="001E56D8" w:rsidRDefault="001E56D8">
      <w:pPr>
        <w:spacing w:line="276" w:lineRule="auto"/>
        <w:ind w:firstLine="720"/>
      </w:pPr>
      <w:r>
        <w:t>Average Change in Sales</w:t>
      </w:r>
    </w:p>
    <w:p w14:paraId="0C9D229C" w14:textId="77777777" w:rsidR="001E56D8" w:rsidRDefault="001E56D8">
      <w:pPr>
        <w:spacing w:line="276" w:lineRule="auto"/>
        <w:ind w:left="144" w:firstLine="720"/>
      </w:pPr>
      <w:r>
        <w:t>Units: %/year</w:t>
      </w:r>
    </w:p>
    <w:p w14:paraId="03456E87" w14:textId="77777777" w:rsidR="001E56D8" w:rsidRDefault="001E56D8">
      <w:pPr>
        <w:spacing w:line="276" w:lineRule="auto"/>
        <w:ind w:left="144" w:firstLine="720"/>
      </w:pPr>
      <w:r>
        <w:t>Description:</w:t>
      </w:r>
    </w:p>
    <w:p w14:paraId="19ADD8D5" w14:textId="77777777" w:rsidR="001E56D8" w:rsidRDefault="001E56D8">
      <w:pPr>
        <w:spacing w:line="276" w:lineRule="auto"/>
        <w:ind w:left="1440"/>
      </w:pPr>
      <w:r>
        <w:t xml:space="preserve">This input is asking for the average percent change in sales from year-to-year that is projected for the following years. </w:t>
      </w:r>
      <w:r w:rsidR="00A91112">
        <w:t xml:space="preserve">Either a historical average or a projection by the utility or user can be input. </w:t>
      </w:r>
    </w:p>
    <w:p w14:paraId="3D64282A" w14:textId="77777777" w:rsidR="001E56D8" w:rsidRDefault="001E56D8">
      <w:pPr>
        <w:spacing w:line="276" w:lineRule="auto"/>
        <w:ind w:left="870"/>
      </w:pPr>
      <w:r>
        <w:t>Example Calculation:</w:t>
      </w:r>
    </w:p>
    <w:p w14:paraId="4665BA5C" w14:textId="77777777" w:rsidR="001E56D8" w:rsidRDefault="004E49B9">
      <w:pPr>
        <w:spacing w:line="276" w:lineRule="auto"/>
        <w:ind w:left="1440"/>
      </w:pPr>
      <w:r>
        <w:t xml:space="preserve">Can be calculated by averaging </w:t>
      </w:r>
      <w:r w:rsidR="001E56D8">
        <w:t xml:space="preserve">of the year-to-year change across select years of sales </w:t>
      </w:r>
      <w:r>
        <w:t>(</w:t>
      </w:r>
      <w:r w:rsidR="001E56D8">
        <w:t>3-5 years is the norm</w:t>
      </w:r>
      <w:r>
        <w:t>)</w:t>
      </w:r>
      <w:r w:rsidR="001E56D8">
        <w:t xml:space="preserve">. </w:t>
      </w:r>
    </w:p>
    <w:p w14:paraId="47AB32DD" w14:textId="77777777" w:rsidR="001E56D8" w:rsidRDefault="001E56D8">
      <w:pPr>
        <w:spacing w:line="276" w:lineRule="auto"/>
        <w:ind w:left="1440" w:hanging="570"/>
      </w:pPr>
      <w:r>
        <w:t xml:space="preserve">Source: </w:t>
      </w:r>
      <w:r w:rsidR="00A91112">
        <w:t xml:space="preserve">Public Service Commission (PSC) </w:t>
      </w:r>
      <w:r>
        <w:t>filings</w:t>
      </w:r>
      <w:r w:rsidR="00A91112">
        <w:t xml:space="preserve"> such as the Integrated Resource Plan (IRP)</w:t>
      </w:r>
      <w:r w:rsidR="004E49B9">
        <w:t xml:space="preserve"> or the historical average calculated using </w:t>
      </w:r>
      <w:hyperlink r:id="rId23" w:history="1">
        <w:r w:rsidR="004E49B9">
          <w:rPr>
            <w:rStyle w:val="Hyperlink"/>
          </w:rPr>
          <w:t>SEC</w:t>
        </w:r>
      </w:hyperlink>
      <w:hyperlink r:id="rId24" w:history="1">
        <w:r w:rsidR="004E49B9">
          <w:rPr>
            <w:rStyle w:val="Hyperlink"/>
          </w:rPr>
          <w:t xml:space="preserve"> 10-K</w:t>
        </w:r>
      </w:hyperlink>
      <w:r w:rsidR="004E49B9">
        <w:t>.</w:t>
      </w:r>
    </w:p>
    <w:p w14:paraId="0DCB2127" w14:textId="77777777" w:rsidR="001E56D8" w:rsidRDefault="001E56D8">
      <w:pPr>
        <w:spacing w:line="276" w:lineRule="auto"/>
      </w:pPr>
    </w:p>
    <w:p w14:paraId="7E05AB40" w14:textId="77777777" w:rsidR="001E56D8" w:rsidRDefault="001E56D8">
      <w:pPr>
        <w:spacing w:line="276" w:lineRule="auto"/>
        <w:ind w:left="720"/>
      </w:pPr>
      <w:r>
        <w:t>Demand in Y0</w:t>
      </w:r>
    </w:p>
    <w:p w14:paraId="3A87B27B" w14:textId="77777777" w:rsidR="001E56D8" w:rsidRDefault="001E56D8">
      <w:pPr>
        <w:spacing w:line="276" w:lineRule="auto"/>
        <w:ind w:left="144" w:firstLine="720"/>
      </w:pPr>
      <w:r>
        <w:t>Units: kW</w:t>
      </w:r>
    </w:p>
    <w:p w14:paraId="02D6F8D2" w14:textId="77777777" w:rsidR="001E56D8" w:rsidRDefault="001E56D8">
      <w:pPr>
        <w:spacing w:line="276" w:lineRule="auto"/>
        <w:ind w:left="144" w:firstLine="720"/>
      </w:pPr>
      <w:r>
        <w:t>Description:</w:t>
      </w:r>
    </w:p>
    <w:p w14:paraId="0C14457E" w14:textId="77777777" w:rsidR="001E56D8" w:rsidRDefault="001E56D8">
      <w:pPr>
        <w:spacing w:line="276" w:lineRule="auto"/>
        <w:ind w:left="1440"/>
      </w:pPr>
      <w:r>
        <w:t xml:space="preserve">This input is asking for the peak demand for the </w:t>
      </w:r>
      <w:r w:rsidR="00BB5C29">
        <w:t xml:space="preserve">customer class </w:t>
      </w:r>
      <w:r>
        <w:t xml:space="preserve">in the most recent year with available data. </w:t>
      </w:r>
      <w:r w:rsidR="0097416B">
        <w:t>Demand can be calculated or can be input based on an independent source.</w:t>
      </w:r>
    </w:p>
    <w:p w14:paraId="00BAA4E8" w14:textId="77777777" w:rsidR="0097416B" w:rsidRDefault="0097416B" w:rsidP="00EF46B8">
      <w:pPr>
        <w:spacing w:line="276" w:lineRule="auto"/>
        <w:ind w:firstLine="900"/>
      </w:pPr>
      <w:r>
        <w:t>Example Calculation:</w:t>
      </w:r>
    </w:p>
    <w:p w14:paraId="1355103F" w14:textId="77777777" w:rsidR="0097416B" w:rsidRDefault="0097416B" w:rsidP="0097416B">
      <w:pPr>
        <w:spacing w:line="276" w:lineRule="auto"/>
        <w:ind w:left="1440"/>
      </w:pPr>
      <w:r>
        <w:t>Can be calculated using the annual load factor and the total retail sales for the customer class. Divide the total retail sales by the value of the annual load factor multiplied by 8,760, the number of hours per year.</w:t>
      </w:r>
    </w:p>
    <w:p w14:paraId="415CFF68" w14:textId="77777777" w:rsidR="0097416B" w:rsidRPr="00980699" w:rsidRDefault="0097416B" w:rsidP="00D77B16">
      <w:pPr>
        <w:spacing w:line="276" w:lineRule="auto"/>
        <w:jc w:val="center"/>
        <w:rPr>
          <w:i/>
        </w:rPr>
      </w:pPr>
      <w:r w:rsidRPr="00980699">
        <w:rPr>
          <w:i/>
        </w:rPr>
        <w:t>Demand = Retail Sales / (Annual Load Factor * 8760)</w:t>
      </w:r>
    </w:p>
    <w:p w14:paraId="27BF11E4" w14:textId="77777777" w:rsidR="003432AD" w:rsidRDefault="003432AD" w:rsidP="00EF46B8">
      <w:pPr>
        <w:spacing w:line="276" w:lineRule="auto"/>
        <w:ind w:left="1440" w:hanging="540"/>
      </w:pPr>
      <w:r>
        <w:t xml:space="preserve">Source: </w:t>
      </w:r>
      <w:r w:rsidR="0097416B">
        <w:t xml:space="preserve">Possibly available in </w:t>
      </w:r>
      <w:r>
        <w:t>PSC fil</w:t>
      </w:r>
      <w:r w:rsidR="0097416B">
        <w:t>ings</w:t>
      </w:r>
      <w:r w:rsidR="00FC13F6">
        <w:t xml:space="preserve"> or system wide demand from FERC 714 </w:t>
      </w:r>
      <w:r w:rsidR="00EF46B8">
        <w:t>Schedule</w:t>
      </w:r>
      <w:r w:rsidR="00FC13F6">
        <w:t xml:space="preserve"> 2</w:t>
      </w:r>
      <w:r w:rsidR="00FC13F6">
        <w:rPr>
          <w:rStyle w:val="FootnoteReference"/>
        </w:rPr>
        <w:footnoteReference w:id="8"/>
      </w:r>
    </w:p>
    <w:p w14:paraId="680B4E4F" w14:textId="77777777" w:rsidR="001E56D8" w:rsidRDefault="001E56D8">
      <w:pPr>
        <w:spacing w:line="276" w:lineRule="auto"/>
        <w:ind w:firstLine="720"/>
      </w:pPr>
      <w:r>
        <w:t>Average Change in Demand</w:t>
      </w:r>
    </w:p>
    <w:p w14:paraId="14C82842" w14:textId="77777777" w:rsidR="001E56D8" w:rsidRDefault="001E56D8">
      <w:pPr>
        <w:spacing w:line="276" w:lineRule="auto"/>
        <w:ind w:left="144" w:firstLine="720"/>
      </w:pPr>
      <w:r>
        <w:t>Units: %/year</w:t>
      </w:r>
    </w:p>
    <w:p w14:paraId="5DBD339B" w14:textId="77777777" w:rsidR="001E56D8" w:rsidRDefault="001E56D8">
      <w:pPr>
        <w:spacing w:line="276" w:lineRule="auto"/>
        <w:ind w:left="144" w:firstLine="720"/>
      </w:pPr>
      <w:r>
        <w:t>Description:</w:t>
      </w:r>
    </w:p>
    <w:p w14:paraId="3E71B406" w14:textId="77777777" w:rsidR="001E56D8" w:rsidRDefault="001E56D8">
      <w:pPr>
        <w:spacing w:line="276" w:lineRule="auto"/>
        <w:ind w:left="1440"/>
      </w:pPr>
      <w:r>
        <w:t>This input is asking for the average percent change in demand from year-to-year that is projected for the following years</w:t>
      </w:r>
      <w:r w:rsidR="004E49B9">
        <w:t xml:space="preserve"> without the impact of the program being </w:t>
      </w:r>
      <w:r w:rsidR="00EF46B8">
        <w:t>analyzed</w:t>
      </w:r>
      <w:r w:rsidR="004E49B9">
        <w:t>; the baseline forecast</w:t>
      </w:r>
      <w:r>
        <w:t xml:space="preserve">. </w:t>
      </w:r>
      <w:r w:rsidR="003432AD">
        <w:t>Either a historical average or a projection by the utility or user can be input.</w:t>
      </w:r>
    </w:p>
    <w:p w14:paraId="2B14278B" w14:textId="77777777" w:rsidR="0097416B" w:rsidRDefault="0097416B" w:rsidP="00EF46B8">
      <w:pPr>
        <w:tabs>
          <w:tab w:val="left" w:pos="810"/>
        </w:tabs>
        <w:spacing w:line="276" w:lineRule="auto"/>
        <w:ind w:left="900"/>
      </w:pPr>
      <w:r>
        <w:t>Example Calculation</w:t>
      </w:r>
      <w:r w:rsidR="001E56D8">
        <w:t>:</w:t>
      </w:r>
      <w:r w:rsidR="003432AD">
        <w:t xml:space="preserve"> </w:t>
      </w:r>
    </w:p>
    <w:p w14:paraId="3F3DBF69" w14:textId="77777777" w:rsidR="001E56D8" w:rsidRDefault="004E49B9" w:rsidP="0097416B">
      <w:pPr>
        <w:spacing w:line="276" w:lineRule="auto"/>
        <w:ind w:left="1440"/>
      </w:pPr>
      <w:r>
        <w:t xml:space="preserve">Can be calculated by averaging </w:t>
      </w:r>
      <w:r w:rsidR="001E56D8">
        <w:t>the year-to-year change across select years for peak demand</w:t>
      </w:r>
      <w:r>
        <w:t xml:space="preserve"> (</w:t>
      </w:r>
      <w:r w:rsidR="001E56D8">
        <w:t>3-5 years is the norm</w:t>
      </w:r>
      <w:r>
        <w:t>).</w:t>
      </w:r>
      <w:r w:rsidR="001E56D8">
        <w:t xml:space="preserve"> </w:t>
      </w:r>
    </w:p>
    <w:p w14:paraId="3EE4F6A9" w14:textId="77777777" w:rsidR="0097416B" w:rsidRDefault="0097416B" w:rsidP="00EF46B8">
      <w:pPr>
        <w:tabs>
          <w:tab w:val="left" w:pos="900"/>
        </w:tabs>
        <w:spacing w:line="276" w:lineRule="auto"/>
        <w:ind w:left="1440" w:hanging="540"/>
      </w:pPr>
      <w:r>
        <w:t xml:space="preserve">Source: </w:t>
      </w:r>
      <w:r w:rsidR="004E49B9">
        <w:t xml:space="preserve">Possibly available in </w:t>
      </w:r>
      <w:r>
        <w:t>PSC filings</w:t>
      </w:r>
      <w:r w:rsidR="00090F6E">
        <w:t xml:space="preserve"> or utility average calculated using FERC 714 Schedule 2</w:t>
      </w:r>
      <w:r w:rsidR="00FC13F6">
        <w:rPr>
          <w:rStyle w:val="FootnoteReference"/>
        </w:rPr>
        <w:footnoteReference w:id="9"/>
      </w:r>
    </w:p>
    <w:p w14:paraId="70D7913A" w14:textId="77777777" w:rsidR="0056265D" w:rsidRDefault="0056265D" w:rsidP="0056265D">
      <w:pPr>
        <w:spacing w:line="276" w:lineRule="auto"/>
        <w:ind w:left="1440" w:hanging="570"/>
      </w:pPr>
    </w:p>
    <w:p w14:paraId="54AB01FA" w14:textId="77777777" w:rsidR="008920D8" w:rsidRDefault="008920D8" w:rsidP="008920D8">
      <w:pPr>
        <w:spacing w:line="276" w:lineRule="auto"/>
        <w:ind w:firstLine="720"/>
      </w:pPr>
      <w:r>
        <w:t>Annual Load Factor</w:t>
      </w:r>
    </w:p>
    <w:p w14:paraId="3F77B7ED" w14:textId="77777777" w:rsidR="008920D8" w:rsidRDefault="008920D8" w:rsidP="008920D8">
      <w:pPr>
        <w:spacing w:line="276" w:lineRule="auto"/>
        <w:ind w:left="144" w:firstLine="720"/>
      </w:pPr>
      <w:r>
        <w:t>Units: %</w:t>
      </w:r>
    </w:p>
    <w:p w14:paraId="6ED7CC59" w14:textId="77777777" w:rsidR="008920D8" w:rsidRDefault="008920D8" w:rsidP="008920D8">
      <w:pPr>
        <w:spacing w:line="276" w:lineRule="auto"/>
        <w:ind w:left="144" w:firstLine="720"/>
      </w:pPr>
      <w:r>
        <w:t>Description:</w:t>
      </w:r>
    </w:p>
    <w:p w14:paraId="67C75696" w14:textId="77777777" w:rsidR="008920D8" w:rsidRDefault="008920D8" w:rsidP="008920D8">
      <w:pPr>
        <w:spacing w:line="276" w:lineRule="auto"/>
        <w:ind w:left="1440"/>
      </w:pPr>
      <w:r>
        <w:t xml:space="preserve">This input is asking for the percent of the total system capacity that is used throughout the year on average by the customer class. An over all system annual load factor can be used as a proxy from the </w:t>
      </w:r>
      <w:hyperlink r:id="rId25" w:history="1">
        <w:r>
          <w:rPr>
            <w:rStyle w:val="Hyperlink"/>
          </w:rPr>
          <w:t>SEC</w:t>
        </w:r>
      </w:hyperlink>
      <w:hyperlink r:id="rId26" w:history="1">
        <w:r>
          <w:rPr>
            <w:rStyle w:val="Hyperlink"/>
          </w:rPr>
          <w:t xml:space="preserve"> 10-K</w:t>
        </w:r>
      </w:hyperlink>
      <w:r>
        <w:t>.</w:t>
      </w:r>
    </w:p>
    <w:p w14:paraId="655193D4" w14:textId="77777777" w:rsidR="008920D8" w:rsidRDefault="008920D8" w:rsidP="008920D8">
      <w:pPr>
        <w:tabs>
          <w:tab w:val="left" w:pos="1080"/>
        </w:tabs>
        <w:spacing w:line="276" w:lineRule="auto"/>
        <w:ind w:left="1440" w:hanging="540"/>
      </w:pPr>
      <w:r>
        <w:t xml:space="preserve">Source: Possibly available in PSC filings, such as the IRP, or the total system proxy is available in the </w:t>
      </w:r>
      <w:hyperlink r:id="rId27" w:history="1">
        <w:r>
          <w:rPr>
            <w:rStyle w:val="Hyperlink"/>
          </w:rPr>
          <w:t>SEC</w:t>
        </w:r>
      </w:hyperlink>
      <w:hyperlink r:id="rId28" w:history="1">
        <w:r>
          <w:rPr>
            <w:rStyle w:val="Hyperlink"/>
          </w:rPr>
          <w:t xml:space="preserve"> 10-K</w:t>
        </w:r>
      </w:hyperlink>
      <w:r>
        <w:t>.</w:t>
      </w:r>
    </w:p>
    <w:p w14:paraId="05A115F8" w14:textId="77777777" w:rsidR="008920D8" w:rsidRDefault="008920D8">
      <w:pPr>
        <w:spacing w:line="276" w:lineRule="auto"/>
        <w:ind w:firstLine="720"/>
      </w:pPr>
    </w:p>
    <w:p w14:paraId="40A9AC73" w14:textId="77777777" w:rsidR="008920D8" w:rsidRDefault="008920D8">
      <w:pPr>
        <w:suppressAutoHyphens w:val="0"/>
        <w:rPr>
          <w:i/>
        </w:rPr>
      </w:pPr>
      <w:r>
        <w:rPr>
          <w:i/>
        </w:rPr>
        <w:br w:type="page"/>
      </w:r>
    </w:p>
    <w:p w14:paraId="0FD4786E" w14:textId="39746093" w:rsidR="008920D8" w:rsidRPr="008920D8" w:rsidRDefault="008920D8" w:rsidP="008920D8">
      <w:pPr>
        <w:spacing w:line="276" w:lineRule="auto"/>
        <w:ind w:firstLine="360"/>
        <w:rPr>
          <w:i/>
        </w:rPr>
      </w:pPr>
      <w:r w:rsidRPr="008920D8">
        <w:rPr>
          <w:i/>
        </w:rPr>
        <w:t>Program Info:</w:t>
      </w:r>
    </w:p>
    <w:p w14:paraId="608960C3" w14:textId="77777777" w:rsidR="001E56D8" w:rsidRDefault="001E56D8">
      <w:pPr>
        <w:spacing w:line="276" w:lineRule="auto"/>
        <w:ind w:firstLine="720"/>
      </w:pPr>
      <w:r>
        <w:rPr>
          <w:u w:val="single"/>
        </w:rPr>
        <w:t>Energy Efficiency Program Cost</w:t>
      </w:r>
      <w:r w:rsidR="008C7C0A">
        <w:rPr>
          <w:rStyle w:val="FootnoteReference"/>
          <w:u w:val="single"/>
        </w:rPr>
        <w:footnoteReference w:id="10"/>
      </w:r>
      <w:r>
        <w:rPr>
          <w:u w:val="single"/>
        </w:rPr>
        <w:t>:</w:t>
      </w:r>
    </w:p>
    <w:p w14:paraId="115202CB" w14:textId="6BE54B3C" w:rsidR="001E56D8" w:rsidRDefault="001E56D8">
      <w:pPr>
        <w:spacing w:line="276" w:lineRule="auto"/>
        <w:ind w:firstLine="720"/>
      </w:pPr>
      <w:r>
        <w:t xml:space="preserve">Program </w:t>
      </w:r>
      <w:r w:rsidR="008920D8">
        <w:t xml:space="preserve">Incentive </w:t>
      </w:r>
      <w:r>
        <w:t>Cost in Y1</w:t>
      </w:r>
    </w:p>
    <w:p w14:paraId="1241D315" w14:textId="77777777" w:rsidR="001E56D8" w:rsidRDefault="001E56D8">
      <w:pPr>
        <w:spacing w:line="276" w:lineRule="auto"/>
        <w:ind w:left="144" w:firstLine="720"/>
      </w:pPr>
      <w:r>
        <w:t>Units: $</w:t>
      </w:r>
    </w:p>
    <w:p w14:paraId="024B7BFD" w14:textId="77777777" w:rsidR="001E56D8" w:rsidRDefault="001E56D8">
      <w:pPr>
        <w:spacing w:line="276" w:lineRule="auto"/>
        <w:ind w:left="144" w:firstLine="720"/>
      </w:pPr>
      <w:r>
        <w:t xml:space="preserve">Description: </w:t>
      </w:r>
    </w:p>
    <w:p w14:paraId="24E04498" w14:textId="10BFC03F" w:rsidR="001D17DB" w:rsidRDefault="001E56D8">
      <w:pPr>
        <w:spacing w:line="276" w:lineRule="auto"/>
        <w:ind w:left="1440"/>
      </w:pPr>
      <w:r>
        <w:t xml:space="preserve">This input is asking for the total cost of </w:t>
      </w:r>
      <w:r w:rsidR="008920D8">
        <w:t>incentives for</w:t>
      </w:r>
      <w:r>
        <w:t xml:space="preserve"> the energy efficiency program in its first year. This includes </w:t>
      </w:r>
      <w:r w:rsidR="008920D8">
        <w:t>only the</w:t>
      </w:r>
      <w:r>
        <w:t xml:space="preserve"> costs paid by the utility</w:t>
      </w:r>
      <w:r w:rsidR="008920D8">
        <w:t xml:space="preserve"> as incentives to the program participants</w:t>
      </w:r>
      <w:r>
        <w:t xml:space="preserve">. </w:t>
      </w:r>
    </w:p>
    <w:p w14:paraId="4AB45117" w14:textId="328528A0" w:rsidR="001E56D8" w:rsidRDefault="001E56D8" w:rsidP="00980699">
      <w:pPr>
        <w:spacing w:line="276" w:lineRule="auto"/>
        <w:ind w:left="1440" w:firstLine="720"/>
      </w:pPr>
      <w:r>
        <w:t xml:space="preserve">Instead of entering </w:t>
      </w:r>
      <w:r w:rsidR="001D17DB">
        <w:t xml:space="preserve">program cost in </w:t>
      </w:r>
      <w:r>
        <w:t>year one and an average change</w:t>
      </w:r>
      <w:r w:rsidR="001D17DB">
        <w:t xml:space="preserve"> in </w:t>
      </w:r>
      <w:r w:rsidR="008920D8">
        <w:t xml:space="preserve">incentive </w:t>
      </w:r>
      <w:r w:rsidR="001D17DB">
        <w:t>cost (see following input)</w:t>
      </w:r>
      <w:r>
        <w:t xml:space="preserve">, program </w:t>
      </w:r>
      <w:r w:rsidR="008920D8">
        <w:t xml:space="preserve">incentive </w:t>
      </w:r>
      <w:r>
        <w:t xml:space="preserve">costs can be entered for each year of the program on the </w:t>
      </w:r>
      <w:r w:rsidR="001D17DB">
        <w:t>C</w:t>
      </w:r>
      <w:r>
        <w:t xml:space="preserve">ustomer </w:t>
      </w:r>
      <w:r w:rsidR="001D17DB">
        <w:t>C</w:t>
      </w:r>
      <w:r>
        <w:t xml:space="preserve">alculations sheet of the </w:t>
      </w:r>
      <w:r w:rsidR="001D17DB">
        <w:t>tool</w:t>
      </w:r>
      <w:r w:rsidR="009F2858">
        <w:rPr>
          <w:rStyle w:val="FootnoteReference"/>
        </w:rPr>
        <w:footnoteReference w:id="11"/>
      </w:r>
      <w:r>
        <w:t>.</w:t>
      </w:r>
    </w:p>
    <w:p w14:paraId="0297AFFB" w14:textId="77777777" w:rsidR="001E56D8" w:rsidRDefault="001E56D8">
      <w:pPr>
        <w:spacing w:line="276" w:lineRule="auto"/>
        <w:ind w:left="1440" w:hanging="585"/>
      </w:pPr>
      <w:r>
        <w:t xml:space="preserve">Source: </w:t>
      </w:r>
      <w:r w:rsidR="004E49B9">
        <w:t xml:space="preserve">PSC </w:t>
      </w:r>
      <w:r>
        <w:t>IRP or DSM filings</w:t>
      </w:r>
    </w:p>
    <w:p w14:paraId="1046F4BF" w14:textId="77777777" w:rsidR="001E56D8" w:rsidRDefault="001E56D8">
      <w:pPr>
        <w:spacing w:line="276" w:lineRule="auto"/>
      </w:pPr>
    </w:p>
    <w:p w14:paraId="0D27FE96" w14:textId="48498D0C" w:rsidR="001E56D8" w:rsidRDefault="001E56D8">
      <w:pPr>
        <w:spacing w:line="276" w:lineRule="auto"/>
        <w:ind w:firstLine="720"/>
      </w:pPr>
      <w:r>
        <w:t xml:space="preserve">Average Change in </w:t>
      </w:r>
      <w:r w:rsidR="008920D8">
        <w:t xml:space="preserve">Incentive </w:t>
      </w:r>
      <w:r>
        <w:t>Cost</w:t>
      </w:r>
    </w:p>
    <w:p w14:paraId="525E77A3" w14:textId="77777777" w:rsidR="001E56D8" w:rsidRDefault="001E56D8">
      <w:pPr>
        <w:spacing w:line="276" w:lineRule="auto"/>
        <w:ind w:left="144" w:firstLine="720"/>
      </w:pPr>
      <w:r>
        <w:t>Units: %</w:t>
      </w:r>
    </w:p>
    <w:p w14:paraId="0D209C6F" w14:textId="77777777" w:rsidR="001E56D8" w:rsidRDefault="001E56D8">
      <w:pPr>
        <w:spacing w:line="276" w:lineRule="auto"/>
        <w:ind w:left="144" w:firstLine="720"/>
      </w:pPr>
      <w:r>
        <w:t xml:space="preserve">Description: </w:t>
      </w:r>
    </w:p>
    <w:p w14:paraId="371DF73C" w14:textId="5D6B6751" w:rsidR="001E56D8" w:rsidRDefault="001E56D8">
      <w:pPr>
        <w:spacing w:line="276" w:lineRule="auto"/>
        <w:ind w:left="1440"/>
      </w:pPr>
      <w:r>
        <w:t xml:space="preserve">This input is asking for the year-to-year percent change in program </w:t>
      </w:r>
      <w:r w:rsidR="008920D8">
        <w:t xml:space="preserve">incentive </w:t>
      </w:r>
      <w:r>
        <w:t>costs, averaged over the lifetime of the program.</w:t>
      </w:r>
    </w:p>
    <w:p w14:paraId="13A29962" w14:textId="3C76D754" w:rsidR="001D17DB" w:rsidRDefault="001D17DB" w:rsidP="00980699">
      <w:pPr>
        <w:spacing w:line="276" w:lineRule="auto"/>
        <w:ind w:left="1440" w:firstLine="720"/>
      </w:pPr>
      <w:r>
        <w:t xml:space="preserve">Instead of entering program </w:t>
      </w:r>
      <w:r w:rsidR="008920D8">
        <w:t xml:space="preserve">incentive </w:t>
      </w:r>
      <w:r>
        <w:t>cost in year one</w:t>
      </w:r>
      <w:r w:rsidR="00BC3C64">
        <w:t xml:space="preserve"> (see previous</w:t>
      </w:r>
      <w:r>
        <w:t xml:space="preserve"> input) and an average change in </w:t>
      </w:r>
      <w:r w:rsidR="008920D8">
        <w:t xml:space="preserve">incentive </w:t>
      </w:r>
      <w:r>
        <w:t xml:space="preserve">cost, program </w:t>
      </w:r>
      <w:r w:rsidR="008920D8">
        <w:t xml:space="preserve">incentive </w:t>
      </w:r>
      <w:r>
        <w:t>costs can be entered for each year of the program on the Customer Calculations sheet of the tool</w:t>
      </w:r>
      <w:r w:rsidR="002B7FB8">
        <w:rPr>
          <w:vertAlign w:val="superscript"/>
        </w:rPr>
        <w:t>11</w:t>
      </w:r>
      <w:r>
        <w:t>.</w:t>
      </w:r>
    </w:p>
    <w:p w14:paraId="5FE2FD3F" w14:textId="77777777" w:rsidR="001E56D8" w:rsidRDefault="001E56D8">
      <w:pPr>
        <w:spacing w:line="276" w:lineRule="auto"/>
        <w:ind w:left="870"/>
      </w:pPr>
      <w:r>
        <w:t>Example Calculation:</w:t>
      </w:r>
    </w:p>
    <w:p w14:paraId="3FAD0E09" w14:textId="77777777" w:rsidR="008920D8" w:rsidRDefault="008920D8" w:rsidP="008920D8">
      <w:pPr>
        <w:spacing w:line="276" w:lineRule="auto"/>
        <w:ind w:left="1440"/>
      </w:pPr>
      <w:r>
        <w:t>Calculated by averaging the percent change in cost from one year to the next across all available years of program cost</w:t>
      </w:r>
      <w:r>
        <w:rPr>
          <w:rStyle w:val="FootnoteReference"/>
        </w:rPr>
        <w:footnoteReference w:id="12"/>
      </w:r>
      <w:r>
        <w:t xml:space="preserve">. </w:t>
      </w:r>
    </w:p>
    <w:p w14:paraId="6416A308" w14:textId="77777777" w:rsidR="001E56D8" w:rsidRDefault="001E56D8">
      <w:pPr>
        <w:spacing w:line="276" w:lineRule="auto"/>
        <w:ind w:left="1440" w:hanging="585"/>
      </w:pPr>
      <w:r>
        <w:t xml:space="preserve">Source: </w:t>
      </w:r>
      <w:r w:rsidR="001D17DB">
        <w:t xml:space="preserve">PSC </w:t>
      </w:r>
      <w:r>
        <w:t>IRP or DSM filings</w:t>
      </w:r>
    </w:p>
    <w:p w14:paraId="74834B1B" w14:textId="77777777" w:rsidR="008920D8" w:rsidRDefault="008920D8" w:rsidP="008920D8">
      <w:pPr>
        <w:spacing w:line="276" w:lineRule="auto"/>
        <w:ind w:firstLine="720"/>
      </w:pPr>
    </w:p>
    <w:p w14:paraId="593E5103" w14:textId="77777777" w:rsidR="008920D8" w:rsidRDefault="008920D8">
      <w:pPr>
        <w:suppressAutoHyphens w:val="0"/>
      </w:pPr>
      <w:r>
        <w:br w:type="page"/>
      </w:r>
    </w:p>
    <w:p w14:paraId="73D49DDC" w14:textId="362F8CEE" w:rsidR="008920D8" w:rsidRDefault="008920D8" w:rsidP="008920D8">
      <w:pPr>
        <w:spacing w:line="276" w:lineRule="auto"/>
        <w:ind w:firstLine="720"/>
      </w:pPr>
      <w:r>
        <w:t>Program Admin Cost in Y1</w:t>
      </w:r>
    </w:p>
    <w:p w14:paraId="3EB8FF1A" w14:textId="77777777" w:rsidR="008920D8" w:rsidRDefault="008920D8" w:rsidP="008920D8">
      <w:pPr>
        <w:spacing w:line="276" w:lineRule="auto"/>
        <w:ind w:left="144" w:firstLine="720"/>
      </w:pPr>
      <w:r>
        <w:t>Units: $</w:t>
      </w:r>
    </w:p>
    <w:p w14:paraId="5A1F5DCA" w14:textId="77777777" w:rsidR="008920D8" w:rsidRDefault="008920D8" w:rsidP="008920D8">
      <w:pPr>
        <w:spacing w:line="276" w:lineRule="auto"/>
        <w:ind w:left="144" w:firstLine="720"/>
      </w:pPr>
      <w:r>
        <w:t xml:space="preserve">Description: </w:t>
      </w:r>
    </w:p>
    <w:p w14:paraId="005DE3F5" w14:textId="34F44949" w:rsidR="008920D8" w:rsidRDefault="008920D8" w:rsidP="008920D8">
      <w:pPr>
        <w:spacing w:line="276" w:lineRule="auto"/>
        <w:ind w:left="1440"/>
      </w:pPr>
      <w:r>
        <w:t xml:space="preserve">This input is asking for the total non-incentive cost of implementing the energy efficiency program in its first year. This includes all costs such as program administration, program marketing, and any other costs paid by the utility that are not incentives to participants. </w:t>
      </w:r>
    </w:p>
    <w:p w14:paraId="2CFECBC0" w14:textId="16C80A69" w:rsidR="008920D8" w:rsidRDefault="008920D8" w:rsidP="008920D8">
      <w:pPr>
        <w:spacing w:line="276" w:lineRule="auto"/>
        <w:ind w:left="1440" w:firstLine="720"/>
      </w:pPr>
      <w:r>
        <w:t>Instead of entering program admin cost in year one and an average change in admin cost (see following input), program admin costs can be entered for each year of the program on the Customer Calculations sheet of the tool</w:t>
      </w:r>
      <w:r>
        <w:rPr>
          <w:rStyle w:val="FootnoteReference"/>
        </w:rPr>
        <w:footnoteReference w:id="13"/>
      </w:r>
      <w:r>
        <w:t>.</w:t>
      </w:r>
    </w:p>
    <w:p w14:paraId="45DB62DD" w14:textId="77777777" w:rsidR="008920D8" w:rsidRDefault="008920D8" w:rsidP="008920D8">
      <w:pPr>
        <w:spacing w:line="276" w:lineRule="auto"/>
        <w:ind w:left="1440" w:hanging="585"/>
      </w:pPr>
      <w:r>
        <w:t>Source: PSC IRP or DSM filings</w:t>
      </w:r>
    </w:p>
    <w:p w14:paraId="0C6C7F8C" w14:textId="77777777" w:rsidR="008920D8" w:rsidRDefault="008920D8" w:rsidP="008920D8">
      <w:pPr>
        <w:spacing w:line="276" w:lineRule="auto"/>
      </w:pPr>
    </w:p>
    <w:p w14:paraId="3965C75F" w14:textId="13442E19" w:rsidR="008920D8" w:rsidRDefault="008920D8" w:rsidP="008920D8">
      <w:pPr>
        <w:spacing w:line="276" w:lineRule="auto"/>
        <w:ind w:firstLine="720"/>
      </w:pPr>
      <w:r>
        <w:t>Average Change in Admin Cost</w:t>
      </w:r>
    </w:p>
    <w:p w14:paraId="109E531E" w14:textId="77777777" w:rsidR="008920D8" w:rsidRDefault="008920D8" w:rsidP="008920D8">
      <w:pPr>
        <w:spacing w:line="276" w:lineRule="auto"/>
        <w:ind w:left="144" w:firstLine="720"/>
      </w:pPr>
      <w:r>
        <w:t>Units: %</w:t>
      </w:r>
    </w:p>
    <w:p w14:paraId="24E763F1" w14:textId="77777777" w:rsidR="008920D8" w:rsidRDefault="008920D8" w:rsidP="008920D8">
      <w:pPr>
        <w:spacing w:line="276" w:lineRule="auto"/>
        <w:ind w:left="144" w:firstLine="720"/>
      </w:pPr>
      <w:r>
        <w:t xml:space="preserve">Description: </w:t>
      </w:r>
    </w:p>
    <w:p w14:paraId="5BF1D74F" w14:textId="6A322B77" w:rsidR="008920D8" w:rsidRDefault="008920D8" w:rsidP="008920D8">
      <w:pPr>
        <w:spacing w:line="276" w:lineRule="auto"/>
        <w:ind w:left="1440"/>
      </w:pPr>
      <w:r>
        <w:t xml:space="preserve">This input is asking for the year-to-year percent change in total program non-incentive costs, averaged over the lifetime of the program. </w:t>
      </w:r>
    </w:p>
    <w:p w14:paraId="67DDEBD5" w14:textId="3D052147" w:rsidR="008920D8" w:rsidRDefault="008920D8" w:rsidP="008920D8">
      <w:pPr>
        <w:spacing w:line="276" w:lineRule="auto"/>
        <w:ind w:left="1440" w:firstLine="720"/>
      </w:pPr>
      <w:r>
        <w:t>Instead of entering program admin cost in year one (see previous input) and an average change in admin cost, program admin costs can be entered for each year of the program on the Customer Calculations sheet of the tool</w:t>
      </w:r>
      <w:r>
        <w:rPr>
          <w:vertAlign w:val="superscript"/>
        </w:rPr>
        <w:t>11</w:t>
      </w:r>
      <w:r>
        <w:t>.</w:t>
      </w:r>
    </w:p>
    <w:p w14:paraId="47AD2711" w14:textId="77777777" w:rsidR="008920D8" w:rsidRDefault="008920D8" w:rsidP="008920D8">
      <w:pPr>
        <w:spacing w:line="276" w:lineRule="auto"/>
        <w:ind w:left="870"/>
      </w:pPr>
      <w:r>
        <w:t>Example Calculation:</w:t>
      </w:r>
    </w:p>
    <w:p w14:paraId="58C0851A" w14:textId="6607646A" w:rsidR="008920D8" w:rsidRDefault="008920D8" w:rsidP="008920D8">
      <w:pPr>
        <w:spacing w:line="276" w:lineRule="auto"/>
        <w:ind w:left="1440"/>
      </w:pPr>
      <w:r>
        <w:t>Calculated by averaging the percent change in cost from one year to the next across all available years of program cost</w:t>
      </w:r>
      <w:r>
        <w:rPr>
          <w:rStyle w:val="FootnoteReference"/>
        </w:rPr>
        <w:footnoteReference w:id="14"/>
      </w:r>
      <w:r>
        <w:t xml:space="preserve">. </w:t>
      </w:r>
    </w:p>
    <w:p w14:paraId="6CBF0CAF" w14:textId="77777777" w:rsidR="008920D8" w:rsidRDefault="008920D8" w:rsidP="008920D8">
      <w:pPr>
        <w:spacing w:line="276" w:lineRule="auto"/>
        <w:ind w:left="1440" w:hanging="585"/>
      </w:pPr>
      <w:r>
        <w:t>Source: PSC IRP or DSM filings</w:t>
      </w:r>
    </w:p>
    <w:p w14:paraId="377765A3" w14:textId="77777777" w:rsidR="008920D8" w:rsidRDefault="008920D8">
      <w:pPr>
        <w:spacing w:line="276" w:lineRule="auto"/>
        <w:ind w:firstLine="720"/>
      </w:pPr>
    </w:p>
    <w:p w14:paraId="2E1AAF9D" w14:textId="77777777" w:rsidR="001E56D8" w:rsidRDefault="001E56D8">
      <w:pPr>
        <w:spacing w:line="276" w:lineRule="auto"/>
        <w:ind w:firstLine="720"/>
      </w:pPr>
      <w:r>
        <w:t>Program Lifetime</w:t>
      </w:r>
    </w:p>
    <w:p w14:paraId="50CFF872" w14:textId="77777777" w:rsidR="001E56D8" w:rsidRDefault="001E56D8">
      <w:pPr>
        <w:spacing w:line="276" w:lineRule="auto"/>
        <w:ind w:left="144" w:firstLine="720"/>
      </w:pPr>
      <w:r>
        <w:t>Units: years</w:t>
      </w:r>
    </w:p>
    <w:p w14:paraId="557B0228" w14:textId="77777777" w:rsidR="001E56D8" w:rsidRDefault="001E56D8">
      <w:pPr>
        <w:spacing w:line="276" w:lineRule="auto"/>
        <w:ind w:left="144" w:firstLine="720"/>
      </w:pPr>
      <w:r>
        <w:t xml:space="preserve">Description: </w:t>
      </w:r>
    </w:p>
    <w:p w14:paraId="6B0EA314" w14:textId="77777777" w:rsidR="001E56D8" w:rsidRDefault="001E56D8">
      <w:pPr>
        <w:spacing w:line="276" w:lineRule="auto"/>
        <w:ind w:left="1440"/>
      </w:pPr>
      <w:r>
        <w:t xml:space="preserve">This input is asking for number of years the program will run. </w:t>
      </w:r>
      <w:r w:rsidR="009F2858">
        <w:t xml:space="preserve">This is different from measure lifetime. </w:t>
      </w:r>
      <w:r>
        <w:t>A program is only considered running when</w:t>
      </w:r>
      <w:r w:rsidR="009F2858">
        <w:t xml:space="preserve"> incentives are being offered</w:t>
      </w:r>
      <w:r w:rsidR="007809D3">
        <w:t xml:space="preserve"> by the utility</w:t>
      </w:r>
      <w:r>
        <w:t>.</w:t>
      </w:r>
    </w:p>
    <w:p w14:paraId="2B931B58" w14:textId="4EF97B68" w:rsidR="001E56D8" w:rsidRDefault="001E56D8">
      <w:pPr>
        <w:spacing w:line="276" w:lineRule="auto"/>
        <w:ind w:left="1440" w:hanging="585"/>
      </w:pPr>
      <w:r>
        <w:t xml:space="preserve">Source: </w:t>
      </w:r>
      <w:r w:rsidR="009F2858">
        <w:t xml:space="preserve">PSC </w:t>
      </w:r>
      <w:r w:rsidR="00AC0863">
        <w:t>IRP,</w:t>
      </w:r>
      <w:r>
        <w:t xml:space="preserve"> DSM filings</w:t>
      </w:r>
      <w:r w:rsidR="00AC0863">
        <w:t>, or CA DEERE</w:t>
      </w:r>
    </w:p>
    <w:p w14:paraId="458CDA28" w14:textId="77777777" w:rsidR="004E1BC8" w:rsidRDefault="004E1BC8">
      <w:pPr>
        <w:spacing w:line="276" w:lineRule="auto"/>
        <w:ind w:left="1440" w:hanging="585"/>
      </w:pPr>
    </w:p>
    <w:p w14:paraId="479A0C8B" w14:textId="6841BC63" w:rsidR="001E56D8" w:rsidRDefault="001E56D8">
      <w:pPr>
        <w:spacing w:line="276" w:lineRule="auto"/>
        <w:ind w:firstLine="720"/>
      </w:pPr>
      <w:r>
        <w:rPr>
          <w:u w:val="single"/>
        </w:rPr>
        <w:t>Sav</w:t>
      </w:r>
      <w:r w:rsidR="008920D8">
        <w:rPr>
          <w:u w:val="single"/>
        </w:rPr>
        <w:t>ings</w:t>
      </w:r>
      <w:r>
        <w:rPr>
          <w:u w:val="single"/>
        </w:rPr>
        <w:t>:</w:t>
      </w:r>
    </w:p>
    <w:p w14:paraId="7BE00C6E" w14:textId="77777777" w:rsidR="001E56D8" w:rsidRDefault="001E56D8">
      <w:pPr>
        <w:spacing w:line="276" w:lineRule="auto"/>
        <w:ind w:firstLine="720"/>
      </w:pPr>
      <w:r>
        <w:t>Energy Saved in Y1</w:t>
      </w:r>
    </w:p>
    <w:p w14:paraId="5D49D34B" w14:textId="77777777" w:rsidR="001E56D8" w:rsidRDefault="001E56D8">
      <w:pPr>
        <w:spacing w:line="276" w:lineRule="auto"/>
        <w:ind w:left="144" w:firstLine="720"/>
      </w:pPr>
      <w:r>
        <w:t>Units: kWh</w:t>
      </w:r>
    </w:p>
    <w:p w14:paraId="743BBD7C" w14:textId="77777777" w:rsidR="001E56D8" w:rsidRDefault="001E56D8">
      <w:pPr>
        <w:spacing w:line="276" w:lineRule="auto"/>
        <w:ind w:left="144" w:firstLine="720"/>
      </w:pPr>
      <w:r>
        <w:t xml:space="preserve">Description: </w:t>
      </w:r>
    </w:p>
    <w:p w14:paraId="32E124B3" w14:textId="77777777" w:rsidR="009D3B53" w:rsidRDefault="001E56D8">
      <w:pPr>
        <w:spacing w:line="276" w:lineRule="auto"/>
        <w:ind w:left="1440"/>
      </w:pPr>
      <w:r>
        <w:t xml:space="preserve">This input is asking for the total amount of energy saved due to the energy efficiency program in its first year. </w:t>
      </w:r>
    </w:p>
    <w:p w14:paraId="0249BB2D" w14:textId="77777777" w:rsidR="001E56D8" w:rsidRDefault="001E56D8" w:rsidP="00980699">
      <w:pPr>
        <w:spacing w:line="276" w:lineRule="auto"/>
        <w:ind w:left="1440" w:firstLine="720"/>
      </w:pPr>
      <w:r>
        <w:t xml:space="preserve">Instead of entering </w:t>
      </w:r>
      <w:r w:rsidR="009D3B53">
        <w:t xml:space="preserve">the energy saved in </w:t>
      </w:r>
      <w:r>
        <w:t>year one and an average change</w:t>
      </w:r>
      <w:r w:rsidR="009D3B53">
        <w:t xml:space="preserve"> in savings (see following input)</w:t>
      </w:r>
      <w:r>
        <w:t xml:space="preserve">, energy savings can be entered for each year of the program on the </w:t>
      </w:r>
      <w:r w:rsidR="009D3B53">
        <w:t>C</w:t>
      </w:r>
      <w:r>
        <w:t xml:space="preserve">ustomer </w:t>
      </w:r>
      <w:r w:rsidR="009D3B53">
        <w:t>C</w:t>
      </w:r>
      <w:r>
        <w:t>alculations sheet of the</w:t>
      </w:r>
      <w:r w:rsidR="009D3B53">
        <w:t xml:space="preserve"> tool</w:t>
      </w:r>
      <w:r w:rsidR="003D2B75">
        <w:rPr>
          <w:rStyle w:val="FootnoteReference"/>
        </w:rPr>
        <w:footnoteReference w:id="15"/>
      </w:r>
      <w:r>
        <w:t>.</w:t>
      </w:r>
    </w:p>
    <w:p w14:paraId="619E6026" w14:textId="77777777" w:rsidR="001E56D8" w:rsidRDefault="001E56D8">
      <w:pPr>
        <w:spacing w:line="276" w:lineRule="auto"/>
        <w:ind w:left="1440" w:hanging="585"/>
      </w:pPr>
      <w:r>
        <w:t xml:space="preserve">Source: </w:t>
      </w:r>
      <w:r w:rsidR="009D3B53">
        <w:t xml:space="preserve">PSC </w:t>
      </w:r>
      <w:r>
        <w:t>IRP or DSM filings</w:t>
      </w:r>
    </w:p>
    <w:p w14:paraId="13DB717E" w14:textId="77777777" w:rsidR="001E56D8" w:rsidRDefault="001E56D8">
      <w:pPr>
        <w:spacing w:line="276" w:lineRule="auto"/>
      </w:pPr>
    </w:p>
    <w:p w14:paraId="649DB787" w14:textId="2E744521" w:rsidR="001E56D8" w:rsidRDefault="001E56D8">
      <w:pPr>
        <w:spacing w:line="276" w:lineRule="auto"/>
        <w:ind w:firstLine="720"/>
      </w:pPr>
      <w:r>
        <w:t xml:space="preserve">Average Change in </w:t>
      </w:r>
      <w:r w:rsidR="008920D8">
        <w:t xml:space="preserve">Energy </w:t>
      </w:r>
      <w:r>
        <w:t>Savings</w:t>
      </w:r>
    </w:p>
    <w:p w14:paraId="11969E32" w14:textId="77777777" w:rsidR="001E56D8" w:rsidRDefault="001E56D8">
      <w:pPr>
        <w:spacing w:line="276" w:lineRule="auto"/>
        <w:ind w:left="144" w:firstLine="720"/>
      </w:pPr>
      <w:r>
        <w:t>Units: %/year</w:t>
      </w:r>
    </w:p>
    <w:p w14:paraId="5A3FAA12" w14:textId="77777777" w:rsidR="001E56D8" w:rsidRDefault="001E56D8">
      <w:pPr>
        <w:spacing w:line="276" w:lineRule="auto"/>
        <w:ind w:left="144" w:firstLine="720"/>
      </w:pPr>
      <w:r>
        <w:t xml:space="preserve">Description: </w:t>
      </w:r>
    </w:p>
    <w:p w14:paraId="576C606F" w14:textId="77777777" w:rsidR="001E56D8" w:rsidRDefault="001E56D8">
      <w:pPr>
        <w:spacing w:line="276" w:lineRule="auto"/>
        <w:ind w:left="1440"/>
      </w:pPr>
      <w:r>
        <w:t>This input is asking for the year-to-year percent change in the total program savings, averaged over the lifetime of the program.</w:t>
      </w:r>
    </w:p>
    <w:p w14:paraId="73BC71BD" w14:textId="38D0532C" w:rsidR="009D3B53" w:rsidRDefault="009D3B53" w:rsidP="00980699">
      <w:pPr>
        <w:spacing w:line="276" w:lineRule="auto"/>
        <w:ind w:left="1440" w:firstLine="720"/>
      </w:pPr>
      <w:r>
        <w:t>Instead of entering the energy saved in year one (see previous input) and an average change in savings, energy savings can be entered for each year of the program on the Customer Calculations sheet of the tool</w:t>
      </w:r>
      <w:r w:rsidR="002B7FB8">
        <w:rPr>
          <w:vertAlign w:val="superscript"/>
        </w:rPr>
        <w:t>13</w:t>
      </w:r>
      <w:r>
        <w:t>.</w:t>
      </w:r>
    </w:p>
    <w:p w14:paraId="1F6463B0" w14:textId="77777777" w:rsidR="001E56D8" w:rsidRDefault="001E56D8">
      <w:pPr>
        <w:spacing w:line="276" w:lineRule="auto"/>
        <w:ind w:left="870"/>
      </w:pPr>
      <w:r>
        <w:t>Example Calculation:</w:t>
      </w:r>
    </w:p>
    <w:p w14:paraId="69510C82" w14:textId="79BE28F2" w:rsidR="001E56D8" w:rsidRDefault="003D2B75">
      <w:pPr>
        <w:spacing w:line="276" w:lineRule="auto"/>
        <w:ind w:left="1440"/>
      </w:pPr>
      <w:r>
        <w:t>Calculated by a</w:t>
      </w:r>
      <w:r w:rsidR="001E56D8">
        <w:t>verag</w:t>
      </w:r>
      <w:r>
        <w:t>ing</w:t>
      </w:r>
      <w:r w:rsidR="001E56D8">
        <w:t xml:space="preserve"> </w:t>
      </w:r>
      <w:r w:rsidR="008920D8">
        <w:t>the percent change in cost from one year to the next across all available years of</w:t>
      </w:r>
      <w:r w:rsidR="001E56D8">
        <w:t xml:space="preserve"> program </w:t>
      </w:r>
      <w:r w:rsidR="00E875F2">
        <w:t xml:space="preserve">energy </w:t>
      </w:r>
      <w:r w:rsidR="001E56D8">
        <w:t xml:space="preserve">savings. </w:t>
      </w:r>
    </w:p>
    <w:p w14:paraId="6BD36FE4" w14:textId="77777777" w:rsidR="008920D8" w:rsidRDefault="008920D8" w:rsidP="008920D8">
      <w:pPr>
        <w:spacing w:line="276" w:lineRule="auto"/>
        <w:ind w:firstLine="720"/>
      </w:pPr>
    </w:p>
    <w:p w14:paraId="00F435EA" w14:textId="0B2C5140" w:rsidR="008920D8" w:rsidRDefault="008920D8" w:rsidP="008920D8">
      <w:pPr>
        <w:spacing w:line="276" w:lineRule="auto"/>
        <w:ind w:firstLine="720"/>
      </w:pPr>
      <w:r>
        <w:t>Demand Saved in Y1</w:t>
      </w:r>
    </w:p>
    <w:p w14:paraId="33C50722" w14:textId="77777777" w:rsidR="008920D8" w:rsidRDefault="008920D8" w:rsidP="008920D8">
      <w:pPr>
        <w:spacing w:line="276" w:lineRule="auto"/>
        <w:ind w:left="144" w:firstLine="720"/>
      </w:pPr>
      <w:r>
        <w:t>Units: kWh</w:t>
      </w:r>
    </w:p>
    <w:p w14:paraId="28AF8060" w14:textId="77777777" w:rsidR="008920D8" w:rsidRDefault="008920D8" w:rsidP="008920D8">
      <w:pPr>
        <w:spacing w:line="276" w:lineRule="auto"/>
        <w:ind w:left="144" w:firstLine="720"/>
      </w:pPr>
      <w:r>
        <w:t xml:space="preserve">Description: </w:t>
      </w:r>
    </w:p>
    <w:p w14:paraId="6FDCA5F8" w14:textId="02779F49" w:rsidR="008920D8" w:rsidRDefault="008920D8" w:rsidP="008920D8">
      <w:pPr>
        <w:spacing w:line="276" w:lineRule="auto"/>
        <w:ind w:left="1440"/>
      </w:pPr>
      <w:r>
        <w:t xml:space="preserve">This input is asking for the total amount of power saved due to the energy efficiency program in its first year. </w:t>
      </w:r>
    </w:p>
    <w:p w14:paraId="7ED82166" w14:textId="22E333E4" w:rsidR="008920D8" w:rsidRDefault="008920D8" w:rsidP="008920D8">
      <w:pPr>
        <w:spacing w:line="276" w:lineRule="auto"/>
        <w:ind w:left="1440" w:firstLine="720"/>
      </w:pPr>
      <w:r>
        <w:t>Instead of entering the power saved in year one and an average change in power savings (see following input), power savings can be entered for each year of the program on the Customer Calculations sheet of the tool</w:t>
      </w:r>
      <w:r>
        <w:rPr>
          <w:rStyle w:val="FootnoteReference"/>
        </w:rPr>
        <w:t>15</w:t>
      </w:r>
      <w:r>
        <w:t>.</w:t>
      </w:r>
    </w:p>
    <w:p w14:paraId="448649DB" w14:textId="77777777" w:rsidR="008920D8" w:rsidRDefault="008920D8" w:rsidP="008920D8">
      <w:pPr>
        <w:spacing w:line="276" w:lineRule="auto"/>
        <w:ind w:left="1440" w:hanging="585"/>
      </w:pPr>
      <w:r>
        <w:t>Source: PSC IRP or DSM filings</w:t>
      </w:r>
    </w:p>
    <w:p w14:paraId="6ECC1D83" w14:textId="77777777" w:rsidR="008920D8" w:rsidRDefault="008920D8" w:rsidP="008920D8">
      <w:pPr>
        <w:spacing w:line="276" w:lineRule="auto"/>
      </w:pPr>
    </w:p>
    <w:p w14:paraId="37E968D8" w14:textId="77777777" w:rsidR="008920D8" w:rsidRDefault="008920D8" w:rsidP="008920D8">
      <w:pPr>
        <w:spacing w:line="276" w:lineRule="auto"/>
      </w:pPr>
    </w:p>
    <w:p w14:paraId="27952B52" w14:textId="3E35BBD9" w:rsidR="008920D8" w:rsidRDefault="008920D8" w:rsidP="008920D8">
      <w:pPr>
        <w:spacing w:line="276" w:lineRule="auto"/>
        <w:ind w:firstLine="720"/>
      </w:pPr>
      <w:r>
        <w:t>Average Change in Demand Savings</w:t>
      </w:r>
    </w:p>
    <w:p w14:paraId="20AB9EAA" w14:textId="77777777" w:rsidR="008920D8" w:rsidRDefault="008920D8" w:rsidP="008920D8">
      <w:pPr>
        <w:spacing w:line="276" w:lineRule="auto"/>
        <w:ind w:left="144" w:firstLine="720"/>
      </w:pPr>
      <w:r>
        <w:t>Units: %/year</w:t>
      </w:r>
    </w:p>
    <w:p w14:paraId="72F2AA3C" w14:textId="77777777" w:rsidR="008920D8" w:rsidRDefault="008920D8" w:rsidP="008920D8">
      <w:pPr>
        <w:spacing w:line="276" w:lineRule="auto"/>
        <w:ind w:left="144" w:firstLine="720"/>
      </w:pPr>
      <w:r>
        <w:t xml:space="preserve">Description: </w:t>
      </w:r>
    </w:p>
    <w:p w14:paraId="6279AEC4" w14:textId="014A7DF6" w:rsidR="008920D8" w:rsidRDefault="008920D8" w:rsidP="008920D8">
      <w:pPr>
        <w:spacing w:line="276" w:lineRule="auto"/>
        <w:ind w:left="1440"/>
      </w:pPr>
      <w:r>
        <w:t>This input is asking for the year-to-year percent change in the total program power savings, averaged over the lifetime of the program.</w:t>
      </w:r>
    </w:p>
    <w:p w14:paraId="71326F7D" w14:textId="0D926FF1" w:rsidR="008920D8" w:rsidRDefault="008920D8" w:rsidP="008920D8">
      <w:pPr>
        <w:spacing w:line="276" w:lineRule="auto"/>
        <w:ind w:left="1440" w:firstLine="720"/>
      </w:pPr>
      <w:r>
        <w:t xml:space="preserve">Instead of entering the power saved in year one (see previous input) and an average change in </w:t>
      </w:r>
      <w:r w:rsidR="00224400">
        <w:t xml:space="preserve">power </w:t>
      </w:r>
      <w:r>
        <w:t xml:space="preserve">savings, </w:t>
      </w:r>
      <w:r w:rsidR="00224400">
        <w:t>power</w:t>
      </w:r>
      <w:r>
        <w:t xml:space="preserve"> savings can be entered for each year of the program on the Customer Calculations sheet of the tool</w:t>
      </w:r>
      <w:r w:rsidR="00224400">
        <w:rPr>
          <w:vertAlign w:val="superscript"/>
        </w:rPr>
        <w:t>15</w:t>
      </w:r>
      <w:r>
        <w:t>.</w:t>
      </w:r>
    </w:p>
    <w:p w14:paraId="36EC09E5" w14:textId="77777777" w:rsidR="008920D8" w:rsidRDefault="008920D8" w:rsidP="008920D8">
      <w:pPr>
        <w:spacing w:line="276" w:lineRule="auto"/>
        <w:ind w:left="870"/>
      </w:pPr>
      <w:r>
        <w:t>Example Calculation:</w:t>
      </w:r>
    </w:p>
    <w:p w14:paraId="184456DB" w14:textId="77777777" w:rsidR="008920D8" w:rsidRDefault="008920D8" w:rsidP="008920D8">
      <w:pPr>
        <w:spacing w:line="276" w:lineRule="auto"/>
        <w:ind w:left="1440"/>
      </w:pPr>
      <w:r>
        <w:t xml:space="preserve">Calculated by averaging the percent change in cost from one year to the next across all available years of program energy savings. </w:t>
      </w:r>
    </w:p>
    <w:p w14:paraId="012EF185" w14:textId="77777777" w:rsidR="008920D8" w:rsidRDefault="008920D8">
      <w:pPr>
        <w:spacing w:line="276" w:lineRule="auto"/>
      </w:pPr>
    </w:p>
    <w:p w14:paraId="248A30ED" w14:textId="77777777" w:rsidR="001E56D8" w:rsidRDefault="001E56D8">
      <w:pPr>
        <w:spacing w:line="276" w:lineRule="auto"/>
        <w:ind w:firstLine="720"/>
      </w:pPr>
      <w:r>
        <w:t>Average Measure Lifetime</w:t>
      </w:r>
    </w:p>
    <w:p w14:paraId="6483A7F2" w14:textId="77777777" w:rsidR="001E56D8" w:rsidRDefault="001E56D8">
      <w:pPr>
        <w:spacing w:line="276" w:lineRule="auto"/>
        <w:ind w:left="144" w:firstLine="720"/>
      </w:pPr>
      <w:r>
        <w:t>Units: years</w:t>
      </w:r>
    </w:p>
    <w:p w14:paraId="29CEE36E" w14:textId="77777777" w:rsidR="001E56D8" w:rsidRDefault="001E56D8">
      <w:pPr>
        <w:spacing w:line="276" w:lineRule="auto"/>
        <w:ind w:left="144" w:firstLine="720"/>
      </w:pPr>
      <w:r>
        <w:t xml:space="preserve">Description: </w:t>
      </w:r>
    </w:p>
    <w:p w14:paraId="00F7B7C0" w14:textId="77777777" w:rsidR="001E56D8" w:rsidRDefault="001E56D8">
      <w:pPr>
        <w:spacing w:line="276" w:lineRule="auto"/>
        <w:ind w:left="1440"/>
      </w:pPr>
      <w:r>
        <w:t>This input is asking</w:t>
      </w:r>
      <w:r w:rsidR="00136402">
        <w:t xml:space="preserve"> for the average lifetime of</w:t>
      </w:r>
      <w:r>
        <w:t xml:space="preserve"> measures i</w:t>
      </w:r>
      <w:r w:rsidR="00CD3C05">
        <w:t>mplemented</w:t>
      </w:r>
      <w:r>
        <w:t xml:space="preserve"> </w:t>
      </w:r>
      <w:r w:rsidR="00136402">
        <w:t>in</w:t>
      </w:r>
      <w:r>
        <w:t xml:space="preserve"> the program</w:t>
      </w:r>
      <w:r w:rsidR="00D35A8B">
        <w:t xml:space="preserve"> for the customer class</w:t>
      </w:r>
      <w:r>
        <w:t xml:space="preserve">, weighted by </w:t>
      </w:r>
      <w:r w:rsidR="00CD3C05">
        <w:t xml:space="preserve">energy </w:t>
      </w:r>
      <w:r>
        <w:t xml:space="preserve">savings. </w:t>
      </w:r>
    </w:p>
    <w:p w14:paraId="3A50EA7C" w14:textId="77777777" w:rsidR="001E56D8" w:rsidRDefault="001E56D8">
      <w:pPr>
        <w:spacing w:line="276" w:lineRule="auto"/>
        <w:ind w:left="870"/>
      </w:pPr>
      <w:r>
        <w:t>Example Calculation:</w:t>
      </w:r>
    </w:p>
    <w:p w14:paraId="4D40778E" w14:textId="77777777" w:rsidR="001E56D8" w:rsidRDefault="00161ACD">
      <w:pPr>
        <w:spacing w:line="276" w:lineRule="auto"/>
        <w:ind w:left="1440"/>
      </w:pPr>
      <w:r>
        <w:t>Calculated by</w:t>
      </w:r>
      <w:r w:rsidR="001E56D8">
        <w:t xml:space="preserve"> averag</w:t>
      </w:r>
      <w:r>
        <w:t>ing</w:t>
      </w:r>
      <w:r w:rsidR="001E56D8">
        <w:t xml:space="preserve"> </w:t>
      </w:r>
      <w:r>
        <w:t xml:space="preserve">the lifetime </w:t>
      </w:r>
      <w:r w:rsidR="001E56D8">
        <w:t xml:space="preserve">of each measure weighted by </w:t>
      </w:r>
      <w:r w:rsidR="00E875F2">
        <w:t xml:space="preserve">the energy </w:t>
      </w:r>
      <w:r w:rsidR="001E56D8">
        <w:t>savings</w:t>
      </w:r>
      <w:r w:rsidR="00E875F2">
        <w:t xml:space="preserve"> of each measure</w:t>
      </w:r>
      <w:r w:rsidR="001E56D8">
        <w:t>.</w:t>
      </w:r>
      <w:r>
        <w:t xml:space="preserve"> A supplementary tool is available to help illuminate this calculation</w:t>
      </w:r>
      <w:r w:rsidR="00D35A8B">
        <w:rPr>
          <w:rStyle w:val="FootnoteReference"/>
        </w:rPr>
        <w:footnoteReference w:id="16"/>
      </w:r>
      <w:r>
        <w:t>.</w:t>
      </w:r>
    </w:p>
    <w:p w14:paraId="3D376617" w14:textId="2023A1F8" w:rsidR="001E56D8" w:rsidRDefault="001E56D8">
      <w:pPr>
        <w:spacing w:line="276" w:lineRule="auto"/>
        <w:ind w:left="1440" w:hanging="585"/>
      </w:pPr>
      <w:r>
        <w:t xml:space="preserve">Source: </w:t>
      </w:r>
      <w:r w:rsidR="00161ACD">
        <w:t xml:space="preserve">PSC </w:t>
      </w:r>
      <w:r>
        <w:t xml:space="preserve">IRP or DSM filings, Measure </w:t>
      </w:r>
      <w:r w:rsidR="00EF46B8">
        <w:t>catalog</w:t>
      </w:r>
      <w:r w:rsidR="00E875F2">
        <w:t xml:space="preserve">, </w:t>
      </w:r>
      <w:r w:rsidR="00D35A8B">
        <w:t xml:space="preserve">a proxy may be derived from </w:t>
      </w:r>
      <w:r w:rsidR="002B7FB8">
        <w:t>DOE data book</w:t>
      </w:r>
      <w:r w:rsidR="002B7FB8">
        <w:rPr>
          <w:rStyle w:val="FootnoteReference"/>
        </w:rPr>
        <w:footnoteReference w:id="17"/>
      </w:r>
      <w:r w:rsidR="002B7FB8">
        <w:t xml:space="preserve">. </w:t>
      </w:r>
    </w:p>
    <w:p w14:paraId="11546297" w14:textId="77777777" w:rsidR="001E56D8" w:rsidRDefault="001E56D8">
      <w:pPr>
        <w:spacing w:line="276" w:lineRule="auto"/>
        <w:ind w:firstLine="720"/>
      </w:pPr>
    </w:p>
    <w:p w14:paraId="6D56F359" w14:textId="77777777" w:rsidR="001E56D8" w:rsidRDefault="001E56D8">
      <w:pPr>
        <w:spacing w:line="276" w:lineRule="auto"/>
        <w:ind w:firstLine="720"/>
      </w:pPr>
      <w:r>
        <w:t>Average Measure Efficiency Decay</w:t>
      </w:r>
    </w:p>
    <w:p w14:paraId="3BC29BE3" w14:textId="77777777" w:rsidR="001E56D8" w:rsidRDefault="001E56D8">
      <w:pPr>
        <w:spacing w:line="276" w:lineRule="auto"/>
        <w:ind w:left="144" w:firstLine="720"/>
      </w:pPr>
      <w:r>
        <w:t>Units: %/year</w:t>
      </w:r>
    </w:p>
    <w:p w14:paraId="33E3255D" w14:textId="77777777" w:rsidR="001E56D8" w:rsidRDefault="001E56D8">
      <w:pPr>
        <w:spacing w:line="276" w:lineRule="auto"/>
        <w:ind w:left="144" w:firstLine="720"/>
      </w:pPr>
      <w:r>
        <w:t xml:space="preserve">Description: </w:t>
      </w:r>
    </w:p>
    <w:p w14:paraId="2C1D28B8" w14:textId="12097C11" w:rsidR="001E56D8" w:rsidRDefault="001E56D8">
      <w:pPr>
        <w:spacing w:line="276" w:lineRule="auto"/>
        <w:ind w:left="1440"/>
      </w:pPr>
      <w:r>
        <w:t>This input is asking for the average</w:t>
      </w:r>
      <w:r w:rsidR="00CD3C05">
        <w:t xml:space="preserve"> percent</w:t>
      </w:r>
      <w:r>
        <w:t xml:space="preserve"> of </w:t>
      </w:r>
      <w:r w:rsidR="00CD3C05">
        <w:t xml:space="preserve">energy </w:t>
      </w:r>
      <w:r>
        <w:t xml:space="preserve">savings </w:t>
      </w:r>
      <w:r w:rsidR="00CD3C05">
        <w:t xml:space="preserve">that </w:t>
      </w:r>
      <w:r>
        <w:t>decay each year</w:t>
      </w:r>
      <w:r w:rsidR="00CD3C05">
        <w:t xml:space="preserve"> after the program has been implemented</w:t>
      </w:r>
      <w:r>
        <w:t xml:space="preserve">. </w:t>
      </w:r>
      <w:r w:rsidR="00FB714F">
        <w:t>This can be used to represent the persistence of installed measures as well as their relative decay.</w:t>
      </w:r>
    </w:p>
    <w:p w14:paraId="11AC557E" w14:textId="1B586F22" w:rsidR="00224400" w:rsidRDefault="00FA5135" w:rsidP="00224400">
      <w:pPr>
        <w:spacing w:line="276" w:lineRule="auto"/>
        <w:ind w:left="1440" w:hanging="540"/>
      </w:pPr>
      <w:r>
        <w:t xml:space="preserve">Source: </w:t>
      </w:r>
      <w:r w:rsidR="00B96193">
        <w:t>May be available in PSC filings</w:t>
      </w:r>
      <w:r w:rsidR="00D6208F">
        <w:t>. Users may also refer to Chapter 13 of NREL/SR-7A30-53827 for guidance</w:t>
      </w:r>
      <w:r w:rsidR="00D6208F">
        <w:rPr>
          <w:rStyle w:val="FootnoteReference"/>
        </w:rPr>
        <w:footnoteReference w:id="18"/>
      </w:r>
      <w:r w:rsidR="00D6208F">
        <w:t>.</w:t>
      </w:r>
      <w:r w:rsidR="00224400">
        <w:br w:type="page"/>
      </w:r>
    </w:p>
    <w:p w14:paraId="5AA439F3" w14:textId="77777777" w:rsidR="001E56D8" w:rsidRDefault="001E56D8">
      <w:pPr>
        <w:pStyle w:val="Heading3"/>
        <w:pageBreakBefore/>
        <w:spacing w:line="276" w:lineRule="auto"/>
      </w:pPr>
      <w:bookmarkStart w:id="20" w:name="_Toc376263699"/>
      <w:bookmarkStart w:id="21" w:name="_Toc376263763"/>
      <w:bookmarkStart w:id="22" w:name="_Toc278464899"/>
      <w:r>
        <w:t>Rate Impact Module</w:t>
      </w:r>
      <w:bookmarkEnd w:id="20"/>
      <w:bookmarkEnd w:id="21"/>
      <w:bookmarkEnd w:id="22"/>
      <w:r>
        <w:t xml:space="preserve"> </w:t>
      </w:r>
    </w:p>
    <w:p w14:paraId="694FF824" w14:textId="77777777" w:rsidR="001E56D8" w:rsidRDefault="001E56D8">
      <w:pPr>
        <w:spacing w:line="276" w:lineRule="auto"/>
        <w:ind w:firstLine="720"/>
      </w:pPr>
      <w:r>
        <w:t xml:space="preserve">The Rate Impact Module contains </w:t>
      </w:r>
      <w:r w:rsidR="00847F36">
        <w:t>six</w:t>
      </w:r>
      <w:r>
        <w:t xml:space="preserve"> sub-modules: the fundamental, program cost recovery, lost revenue recovery, levelized cost of energy efficiency, fuel use shift, and deferred capital investment sub-modules. </w:t>
      </w:r>
    </w:p>
    <w:p w14:paraId="3BEF6741" w14:textId="77777777" w:rsidR="00A35BE3" w:rsidRDefault="00A35BE3">
      <w:pPr>
        <w:spacing w:line="276" w:lineRule="auto"/>
        <w:ind w:firstLine="720"/>
      </w:pPr>
    </w:p>
    <w:p w14:paraId="6A58EAD9" w14:textId="77777777" w:rsidR="001E56D8" w:rsidRDefault="001E56D8">
      <w:pPr>
        <w:pStyle w:val="Heading4"/>
        <w:spacing w:line="276" w:lineRule="auto"/>
      </w:pPr>
      <w:r>
        <w:t>Fundamental Sub-Module</w:t>
      </w:r>
    </w:p>
    <w:p w14:paraId="7036768C" w14:textId="77777777" w:rsidR="001E56D8" w:rsidRDefault="001E56D8">
      <w:pPr>
        <w:spacing w:line="276" w:lineRule="auto"/>
        <w:ind w:firstLine="720"/>
      </w:pPr>
      <w:r>
        <w:t>The Fundamental Sub-Module is the core of the rate module and contains the following inputs:</w:t>
      </w:r>
    </w:p>
    <w:p w14:paraId="746ED264" w14:textId="77777777" w:rsidR="001E56D8" w:rsidRDefault="001E56D8">
      <w:pPr>
        <w:spacing w:line="276" w:lineRule="auto"/>
      </w:pPr>
    </w:p>
    <w:p w14:paraId="7C5CBE61" w14:textId="35CD2196" w:rsidR="00065949" w:rsidRDefault="00065949" w:rsidP="00065949">
      <w:pPr>
        <w:spacing w:line="276" w:lineRule="auto"/>
        <w:jc w:val="center"/>
      </w:pPr>
      <w:r>
        <w:rPr>
          <w:noProof/>
          <w:lang w:eastAsia="en-US"/>
        </w:rPr>
        <w:drawing>
          <wp:inline distT="0" distB="0" distL="0" distR="0" wp14:anchorId="69DC302D" wp14:editId="2045B05D">
            <wp:extent cx="3709276" cy="2095500"/>
            <wp:effectExtent l="0" t="0" r="0" b="0"/>
            <wp:docPr id="37" name="Picture 37" descr="Macintosh HD:Users:Ben:Desktop:Screen Shot 2014-10-28 at 2.4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Desktop:Screen Shot 2014-10-28 at 2.45.25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9276" cy="2095500"/>
                    </a:xfrm>
                    <a:prstGeom prst="rect">
                      <a:avLst/>
                    </a:prstGeom>
                    <a:noFill/>
                    <a:ln>
                      <a:noFill/>
                    </a:ln>
                  </pic:spPr>
                </pic:pic>
              </a:graphicData>
            </a:graphic>
          </wp:inline>
        </w:drawing>
      </w:r>
    </w:p>
    <w:p w14:paraId="5A8A3825" w14:textId="5A5EA7EB" w:rsidR="001E56D8" w:rsidRDefault="001E56D8">
      <w:pPr>
        <w:spacing w:line="276" w:lineRule="auto"/>
      </w:pPr>
    </w:p>
    <w:p w14:paraId="0398B9FD" w14:textId="77777777" w:rsidR="001E56D8" w:rsidRDefault="001E56D8">
      <w:pPr>
        <w:spacing w:line="276" w:lineRule="auto"/>
        <w:ind w:firstLine="720"/>
      </w:pPr>
      <w:r>
        <w:rPr>
          <w:u w:val="single"/>
        </w:rPr>
        <w:t>Rates:</w:t>
      </w:r>
    </w:p>
    <w:p w14:paraId="1523CA85" w14:textId="198E5AA0" w:rsidR="001E56D8" w:rsidRDefault="001E56D8">
      <w:pPr>
        <w:spacing w:line="276" w:lineRule="auto"/>
        <w:ind w:firstLine="720"/>
      </w:pPr>
      <w:r>
        <w:t xml:space="preserve">Average </w:t>
      </w:r>
      <w:r w:rsidR="00065949">
        <w:t xml:space="preserve">Volumetric </w:t>
      </w:r>
      <w:r>
        <w:t xml:space="preserve">Rate in Y0 </w:t>
      </w:r>
    </w:p>
    <w:p w14:paraId="191D1F38" w14:textId="77777777" w:rsidR="001E56D8" w:rsidRDefault="001E56D8">
      <w:pPr>
        <w:spacing w:line="276" w:lineRule="auto"/>
        <w:ind w:left="144" w:firstLine="720"/>
      </w:pPr>
      <w:r>
        <w:t>Units: $/kWh</w:t>
      </w:r>
    </w:p>
    <w:p w14:paraId="0D436517" w14:textId="77777777" w:rsidR="001E56D8" w:rsidRDefault="001E56D8">
      <w:pPr>
        <w:spacing w:line="276" w:lineRule="auto"/>
        <w:ind w:left="864"/>
      </w:pPr>
      <w:r>
        <w:t>Description:</w:t>
      </w:r>
    </w:p>
    <w:p w14:paraId="6D89CA3E" w14:textId="00CDD6EC" w:rsidR="001E56D8" w:rsidRDefault="001E56D8">
      <w:pPr>
        <w:spacing w:line="276" w:lineRule="auto"/>
        <w:ind w:left="1440"/>
      </w:pPr>
      <w:r>
        <w:t xml:space="preserve">This input is asking for the average number of dollars customers paid for each kWh of energy they bought. </w:t>
      </w:r>
      <w:r w:rsidR="00CB30F9">
        <w:t>This rate</w:t>
      </w:r>
      <w:r w:rsidR="00065949">
        <w:t xml:space="preserve"> (plus the Average Demand Charge in Y0 if used)</w:t>
      </w:r>
      <w:r w:rsidR="00CB30F9">
        <w:t xml:space="preserve"> must account for all revenu</w:t>
      </w:r>
      <w:r w:rsidR="00DE5882">
        <w:t>e to be collected from this customer</w:t>
      </w:r>
      <w:r w:rsidR="00CB30F9">
        <w:t xml:space="preserve"> class</w:t>
      </w:r>
      <w:r w:rsidR="00DE5882">
        <w:t xml:space="preserve"> and should reflect total revenues filed in the SEC Form 10-K</w:t>
      </w:r>
      <w:r w:rsidR="00CB30F9">
        <w:t xml:space="preserve">. </w:t>
      </w:r>
      <w:r>
        <w:t>In asking for the value in year zero, this conventionally means the most recent year for which data is available.</w:t>
      </w:r>
    </w:p>
    <w:p w14:paraId="5A2090C7" w14:textId="77777777" w:rsidR="00CB30F9" w:rsidRDefault="00CB30F9" w:rsidP="00EF46B8">
      <w:pPr>
        <w:spacing w:line="276" w:lineRule="auto"/>
        <w:ind w:firstLine="900"/>
      </w:pPr>
      <w:r>
        <w:t>Example Calculation:</w:t>
      </w:r>
    </w:p>
    <w:p w14:paraId="2E5EFDA2" w14:textId="77777777" w:rsidR="00CB30F9" w:rsidRDefault="00CB30F9">
      <w:pPr>
        <w:spacing w:line="276" w:lineRule="auto"/>
        <w:ind w:left="1440"/>
      </w:pPr>
      <w:r>
        <w:t xml:space="preserve">Calculated by dividing the total revenue from the rate class by the total retail sales to the rate class. May differ from published rate schedule. </w:t>
      </w:r>
    </w:p>
    <w:p w14:paraId="0D34F371" w14:textId="77777777" w:rsidR="001E56D8" w:rsidRDefault="001E56D8">
      <w:pPr>
        <w:spacing w:line="276" w:lineRule="auto"/>
        <w:ind w:left="1440" w:hanging="585"/>
      </w:pPr>
      <w:r>
        <w:t>Source:</w:t>
      </w:r>
      <w:r w:rsidR="00CB30F9">
        <w:t xml:space="preserve"> </w:t>
      </w:r>
      <w:hyperlink r:id="rId30" w:history="1">
        <w:r w:rsidR="00E0055D">
          <w:rPr>
            <w:rStyle w:val="Hyperlink"/>
          </w:rPr>
          <w:t>SEC</w:t>
        </w:r>
      </w:hyperlink>
      <w:hyperlink r:id="rId31" w:history="1">
        <w:r w:rsidR="00E0055D">
          <w:rPr>
            <w:rStyle w:val="Hyperlink"/>
          </w:rPr>
          <w:t xml:space="preserve"> 10-K</w:t>
        </w:r>
      </w:hyperlink>
    </w:p>
    <w:p w14:paraId="436BE362" w14:textId="77777777" w:rsidR="001E56D8" w:rsidRDefault="001E56D8">
      <w:pPr>
        <w:spacing w:line="276" w:lineRule="auto"/>
      </w:pPr>
    </w:p>
    <w:p w14:paraId="1CFEFC52" w14:textId="77777777" w:rsidR="00766DEA" w:rsidRDefault="00766DEA">
      <w:pPr>
        <w:spacing w:line="276" w:lineRule="auto"/>
      </w:pPr>
    </w:p>
    <w:p w14:paraId="7D22A7D5" w14:textId="77777777" w:rsidR="00766DEA" w:rsidRDefault="00766DEA">
      <w:pPr>
        <w:spacing w:line="276" w:lineRule="auto"/>
      </w:pPr>
    </w:p>
    <w:p w14:paraId="4624CD8C" w14:textId="3A24740E" w:rsidR="001E56D8" w:rsidRDefault="00065949">
      <w:pPr>
        <w:spacing w:line="276" w:lineRule="auto"/>
        <w:ind w:firstLine="720"/>
        <w:rPr>
          <w:i/>
        </w:rPr>
      </w:pPr>
      <w:r>
        <w:rPr>
          <w:i/>
        </w:rPr>
        <w:t>Variable Rate</w:t>
      </w:r>
      <w:r w:rsidR="001E56D8">
        <w:rPr>
          <w:i/>
        </w:rPr>
        <w:t>:</w:t>
      </w:r>
    </w:p>
    <w:p w14:paraId="0CEE3B32" w14:textId="77777777" w:rsidR="0099283D" w:rsidRDefault="0099283D" w:rsidP="00EF46B8">
      <w:pPr>
        <w:spacing w:line="276" w:lineRule="auto"/>
        <w:ind w:left="720" w:firstLine="720"/>
      </w:pPr>
      <w:r>
        <w:t xml:space="preserve">The tool needs to know the proportion of the average rate that is variable versus fixed to properly calculate the costs and benefits of an energy efficiency program. </w:t>
      </w:r>
      <w:r w:rsidR="00270307">
        <w:t>There are two different methods to calculate this proportion.</w:t>
      </w:r>
    </w:p>
    <w:p w14:paraId="2A619DA5" w14:textId="77777777" w:rsidR="0099283D" w:rsidRPr="0099283D" w:rsidRDefault="0099283D">
      <w:pPr>
        <w:spacing w:line="276" w:lineRule="auto"/>
        <w:ind w:firstLine="720"/>
      </w:pPr>
    </w:p>
    <w:p w14:paraId="7DE98A6B" w14:textId="77777777" w:rsidR="001E56D8" w:rsidRDefault="001E56D8">
      <w:pPr>
        <w:spacing w:line="276" w:lineRule="auto"/>
        <w:ind w:firstLine="720"/>
      </w:pPr>
      <w:r>
        <w:t>Use Utility R</w:t>
      </w:r>
      <w:r w:rsidR="004519A4">
        <w:t xml:space="preserve">evenue </w:t>
      </w:r>
      <w:r w:rsidR="00EF46B8">
        <w:t>Requirement for</w:t>
      </w:r>
      <w:r>
        <w:t xml:space="preserve"> Variable</w:t>
      </w:r>
      <w:r w:rsidR="0099283D">
        <w:t xml:space="preserve"> Cost</w:t>
      </w:r>
      <w:r>
        <w:t xml:space="preserve"> Rate?</w:t>
      </w:r>
    </w:p>
    <w:p w14:paraId="03703604" w14:textId="77777777" w:rsidR="001E56D8" w:rsidRDefault="001E56D8">
      <w:pPr>
        <w:spacing w:line="276" w:lineRule="auto"/>
        <w:ind w:left="144" w:firstLine="720"/>
      </w:pPr>
      <w:r>
        <w:t xml:space="preserve">Units: </w:t>
      </w:r>
      <w:proofErr w:type="gramStart"/>
      <w:r>
        <w:t>boolean</w:t>
      </w:r>
      <w:proofErr w:type="gramEnd"/>
      <w:r>
        <w:t xml:space="preserve"> (TRUE/FALSE)</w:t>
      </w:r>
    </w:p>
    <w:p w14:paraId="02D4F6C6" w14:textId="77777777" w:rsidR="001E56D8" w:rsidRDefault="001E56D8">
      <w:pPr>
        <w:spacing w:line="276" w:lineRule="auto"/>
        <w:ind w:left="864"/>
      </w:pPr>
      <w:r>
        <w:t>Description:</w:t>
      </w:r>
    </w:p>
    <w:p w14:paraId="3F0BA9B3" w14:textId="77777777" w:rsidR="001E56D8" w:rsidRDefault="001E56D8">
      <w:pPr>
        <w:spacing w:line="276" w:lineRule="auto"/>
        <w:ind w:left="1440"/>
      </w:pPr>
      <w:r>
        <w:t xml:space="preserve">This input is asking if the utility revenue requirement should be used </w:t>
      </w:r>
      <w:r w:rsidR="004519A4">
        <w:t xml:space="preserve">to calculate </w:t>
      </w:r>
      <w:r>
        <w:t xml:space="preserve">the variable </w:t>
      </w:r>
      <w:r w:rsidR="00A84D16">
        <w:t xml:space="preserve">cost portion of the average </w:t>
      </w:r>
      <w:r>
        <w:t xml:space="preserve">rate or if an entered average variable </w:t>
      </w:r>
      <w:r w:rsidR="00A84D16">
        <w:t xml:space="preserve">cost </w:t>
      </w:r>
      <w:r>
        <w:t xml:space="preserve">rate should be </w:t>
      </w:r>
      <w:r w:rsidR="004519A4">
        <w:t>used</w:t>
      </w:r>
      <w:r>
        <w:t>.</w:t>
      </w:r>
      <w:r w:rsidR="00A84D16">
        <w:t xml:space="preserve"> </w:t>
      </w:r>
      <w:r w:rsidR="00E66176">
        <w:t>The utility revenue requirement method uses inputs from the Fund</w:t>
      </w:r>
      <w:r w:rsidR="00400EB3">
        <w:t>a</w:t>
      </w:r>
      <w:r w:rsidR="00E66176">
        <w:t xml:space="preserve">mental Module of the Utility Sector of the tool. </w:t>
      </w:r>
      <w:r w:rsidR="00A84D16">
        <w:t xml:space="preserve">Using the utility revenue requirements may not capture adjustments </w:t>
      </w:r>
      <w:r w:rsidR="006B508D">
        <w:t>as a result of</w:t>
      </w:r>
      <w:r w:rsidR="00A84D16">
        <w:t xml:space="preserve"> utility rate cases</w:t>
      </w:r>
      <w:r w:rsidR="006B508D">
        <w:t xml:space="preserve"> </w:t>
      </w:r>
      <w:r w:rsidR="00136402">
        <w:t>that</w:t>
      </w:r>
      <w:r w:rsidR="006B508D">
        <w:t xml:space="preserve"> would be captured with an entered variable cost rate. </w:t>
      </w:r>
    </w:p>
    <w:p w14:paraId="3D7A1278" w14:textId="77777777" w:rsidR="00766DEA" w:rsidRDefault="00766DEA">
      <w:pPr>
        <w:spacing w:line="276" w:lineRule="auto"/>
        <w:ind w:firstLine="720"/>
      </w:pPr>
    </w:p>
    <w:p w14:paraId="0F23594B" w14:textId="77777777" w:rsidR="001E56D8" w:rsidRDefault="001E56D8">
      <w:pPr>
        <w:spacing w:line="276" w:lineRule="auto"/>
        <w:ind w:firstLine="720"/>
      </w:pPr>
      <w:r>
        <w:t>Average Variable Cost Rate in Y0</w:t>
      </w:r>
    </w:p>
    <w:p w14:paraId="5A254199" w14:textId="77777777" w:rsidR="001E56D8" w:rsidRDefault="001E56D8">
      <w:pPr>
        <w:spacing w:line="276" w:lineRule="auto"/>
        <w:ind w:left="144" w:firstLine="720"/>
      </w:pPr>
      <w:r>
        <w:t>Units: $/kWh</w:t>
      </w:r>
    </w:p>
    <w:p w14:paraId="625282FD" w14:textId="77777777" w:rsidR="001E56D8" w:rsidRDefault="001E56D8">
      <w:pPr>
        <w:spacing w:line="276" w:lineRule="auto"/>
        <w:ind w:left="864"/>
      </w:pPr>
      <w:r>
        <w:t>Description:</w:t>
      </w:r>
    </w:p>
    <w:p w14:paraId="3871D47E" w14:textId="77777777" w:rsidR="000427D8" w:rsidRDefault="001E56D8">
      <w:pPr>
        <w:spacing w:line="276" w:lineRule="auto"/>
        <w:ind w:left="1440"/>
      </w:pPr>
      <w:r>
        <w:t>This input is asking for the average dollars per kWh devoted to paying for costs that vary depending on the amount of energy sold. This is a portion of the total rate asked for in the</w:t>
      </w:r>
      <w:r w:rsidR="00F676A1">
        <w:t xml:space="preserve"> average rate</w:t>
      </w:r>
      <w:r>
        <w:t xml:space="preserve"> variable. This input need not be filled out if 'Use Utility RR for Variable Rate?' is marked TRUE.</w:t>
      </w:r>
      <w:r w:rsidR="00AC0863">
        <w:t xml:space="preserve"> </w:t>
      </w:r>
    </w:p>
    <w:p w14:paraId="3193043E" w14:textId="52A59327" w:rsidR="000427D8" w:rsidRDefault="000427D8" w:rsidP="000427D8">
      <w:pPr>
        <w:spacing w:line="276" w:lineRule="auto"/>
        <w:ind w:left="900"/>
      </w:pPr>
      <w:r>
        <w:t>Example Calculation:</w:t>
      </w:r>
    </w:p>
    <w:p w14:paraId="12782025" w14:textId="57A4F150" w:rsidR="001E56D8" w:rsidRDefault="00AC0863">
      <w:pPr>
        <w:spacing w:line="276" w:lineRule="auto"/>
        <w:ind w:left="1440"/>
      </w:pPr>
      <w:r>
        <w:t xml:space="preserve">This can be </w:t>
      </w:r>
      <w:r w:rsidR="000427D8">
        <w:t xml:space="preserve">calculated as </w:t>
      </w:r>
      <w:r>
        <w:t>a</w:t>
      </w:r>
      <w:r w:rsidR="000427D8">
        <w:t>n</w:t>
      </w:r>
      <w:r>
        <w:t xml:space="preserve"> average of the fuel costs used by the different generating units weighted by the energy generated by each unit type. </w:t>
      </w:r>
    </w:p>
    <w:p w14:paraId="2575E510" w14:textId="27D352D8" w:rsidR="001E56D8" w:rsidRDefault="001E56D8">
      <w:pPr>
        <w:spacing w:line="276" w:lineRule="auto"/>
        <w:ind w:left="885"/>
      </w:pPr>
      <w:r>
        <w:t xml:space="preserve">Source: </w:t>
      </w:r>
      <w:r w:rsidR="0047645A">
        <w:t xml:space="preserve">PSC rate case filings or </w:t>
      </w:r>
      <w:hyperlink r:id="rId32" w:history="1">
        <w:r>
          <w:rPr>
            <w:rStyle w:val="Hyperlink"/>
          </w:rPr>
          <w:t>SEC</w:t>
        </w:r>
      </w:hyperlink>
      <w:hyperlink r:id="rId33" w:history="1">
        <w:r>
          <w:rPr>
            <w:rStyle w:val="Hyperlink"/>
          </w:rPr>
          <w:t xml:space="preserve"> 10-K</w:t>
        </w:r>
      </w:hyperlink>
    </w:p>
    <w:p w14:paraId="36E16470" w14:textId="77777777" w:rsidR="001E56D8" w:rsidRDefault="001E56D8">
      <w:pPr>
        <w:spacing w:line="276" w:lineRule="auto"/>
      </w:pPr>
    </w:p>
    <w:p w14:paraId="08676698" w14:textId="77777777" w:rsidR="000427D8" w:rsidRDefault="000427D8">
      <w:pPr>
        <w:suppressAutoHyphens w:val="0"/>
      </w:pPr>
      <w:r>
        <w:br w:type="page"/>
      </w:r>
    </w:p>
    <w:p w14:paraId="7FD6FD6B" w14:textId="6DCA63E6" w:rsidR="001E56D8" w:rsidRDefault="001E56D8">
      <w:pPr>
        <w:spacing w:line="276" w:lineRule="auto"/>
        <w:ind w:firstLine="720"/>
      </w:pPr>
      <w:r>
        <w:t xml:space="preserve">Average Change in </w:t>
      </w:r>
      <w:r w:rsidR="00065949">
        <w:t>Energy</w:t>
      </w:r>
      <w:r w:rsidR="00610683">
        <w:t xml:space="preserve"> </w:t>
      </w:r>
      <w:r>
        <w:t>Cost</w:t>
      </w:r>
    </w:p>
    <w:p w14:paraId="75C4DED0" w14:textId="77777777" w:rsidR="001E56D8" w:rsidRDefault="001E56D8">
      <w:pPr>
        <w:spacing w:line="276" w:lineRule="auto"/>
        <w:ind w:left="144" w:firstLine="720"/>
      </w:pPr>
      <w:r>
        <w:t>Units: %/year</w:t>
      </w:r>
    </w:p>
    <w:p w14:paraId="1CA4D5F7" w14:textId="77777777" w:rsidR="001E56D8" w:rsidRDefault="001E56D8">
      <w:pPr>
        <w:spacing w:line="276" w:lineRule="auto"/>
        <w:ind w:left="864"/>
      </w:pPr>
      <w:r>
        <w:t>Description:</w:t>
      </w:r>
    </w:p>
    <w:p w14:paraId="7AB116B4" w14:textId="77777777" w:rsidR="001E56D8" w:rsidRDefault="001E56D8">
      <w:pPr>
        <w:spacing w:line="276" w:lineRule="auto"/>
        <w:ind w:left="1440"/>
      </w:pPr>
      <w:r>
        <w:t>This input is asking for the average percent the energy cost changes from year to year for the utility. It is used to adjust the average variable cost rate over the years of the analysis.</w:t>
      </w:r>
      <w:r w:rsidR="004E1BC8">
        <w:t xml:space="preserve"> Either a historical average or a projection by the utility or user can be input.</w:t>
      </w:r>
      <w:r w:rsidR="00157B33">
        <w:t xml:space="preserve"> </w:t>
      </w:r>
      <w:r w:rsidR="00157B33" w:rsidRPr="00157B33">
        <w:t>. This input need not be filled out if 'Use Utility RR for Variable Rate?' is marked TRUE.</w:t>
      </w:r>
    </w:p>
    <w:p w14:paraId="76C0FD82" w14:textId="77777777" w:rsidR="001E56D8" w:rsidRDefault="001E56D8">
      <w:pPr>
        <w:spacing w:line="276" w:lineRule="auto"/>
        <w:ind w:left="870"/>
      </w:pPr>
      <w:r>
        <w:t>Example Calculation:</w:t>
      </w:r>
    </w:p>
    <w:p w14:paraId="64CA69D2" w14:textId="77777777" w:rsidR="001E56D8" w:rsidRDefault="00CC7DAF">
      <w:pPr>
        <w:spacing w:line="276" w:lineRule="auto"/>
        <w:ind w:left="1440"/>
      </w:pPr>
      <w:r>
        <w:t>Calculated by a</w:t>
      </w:r>
      <w:r w:rsidR="001E56D8">
        <w:t>verag</w:t>
      </w:r>
      <w:r>
        <w:t>ing</w:t>
      </w:r>
      <w:r w:rsidR="001E56D8">
        <w:t xml:space="preserve"> the year-to-year change across select years of variables cost </w:t>
      </w:r>
      <w:r w:rsidR="004E1BC8">
        <w:t>(</w:t>
      </w:r>
      <w:r w:rsidR="001E56D8">
        <w:t>3-5 years is the norm</w:t>
      </w:r>
      <w:r w:rsidR="004E1BC8">
        <w:t>)</w:t>
      </w:r>
      <w:r w:rsidR="001E56D8">
        <w:t xml:space="preserve">. </w:t>
      </w:r>
    </w:p>
    <w:p w14:paraId="1AC79C95" w14:textId="3FB41B17" w:rsidR="001B5F6A" w:rsidRDefault="001E56D8" w:rsidP="001B5F6A">
      <w:pPr>
        <w:spacing w:line="276" w:lineRule="auto"/>
        <w:ind w:firstLine="900"/>
      </w:pPr>
      <w:r>
        <w:t xml:space="preserve">Source: </w:t>
      </w:r>
      <w:r w:rsidR="0047645A">
        <w:t xml:space="preserve">PSC rate case filings or </w:t>
      </w:r>
      <w:hyperlink r:id="rId34" w:history="1">
        <w:r>
          <w:rPr>
            <w:rStyle w:val="Hyperlink"/>
          </w:rPr>
          <w:t>SEC</w:t>
        </w:r>
      </w:hyperlink>
      <w:hyperlink r:id="rId35" w:history="1">
        <w:r>
          <w:rPr>
            <w:rStyle w:val="Hyperlink"/>
          </w:rPr>
          <w:t xml:space="preserve"> 10-K</w:t>
        </w:r>
      </w:hyperlink>
      <w:r w:rsidR="004E1BC8">
        <w:t xml:space="preserve"> to calculate a historical average</w:t>
      </w:r>
    </w:p>
    <w:p w14:paraId="01D78866" w14:textId="77777777" w:rsidR="000427D8" w:rsidRDefault="000427D8" w:rsidP="001B5F6A">
      <w:pPr>
        <w:spacing w:line="276" w:lineRule="auto"/>
        <w:ind w:firstLine="900"/>
      </w:pPr>
    </w:p>
    <w:p w14:paraId="7CC5453C" w14:textId="1290A157" w:rsidR="001E56D8" w:rsidRPr="00065949" w:rsidRDefault="00065949">
      <w:pPr>
        <w:spacing w:line="276" w:lineRule="auto"/>
        <w:ind w:firstLine="720"/>
        <w:rPr>
          <w:i/>
        </w:rPr>
      </w:pPr>
      <w:r w:rsidRPr="00065949">
        <w:rPr>
          <w:i/>
        </w:rPr>
        <w:t>Fixed Rate</w:t>
      </w:r>
      <w:r w:rsidR="001E56D8" w:rsidRPr="00065949">
        <w:rPr>
          <w:i/>
        </w:rPr>
        <w:t>:</w:t>
      </w:r>
    </w:p>
    <w:p w14:paraId="36FE1A3D" w14:textId="77777777" w:rsidR="001E56D8" w:rsidRDefault="001E56D8">
      <w:pPr>
        <w:spacing w:line="276" w:lineRule="auto"/>
        <w:ind w:firstLine="720"/>
      </w:pPr>
      <w:r>
        <w:t>Use Utility R</w:t>
      </w:r>
      <w:r w:rsidR="004E1BC8">
        <w:t xml:space="preserve">evenue </w:t>
      </w:r>
      <w:r w:rsidR="00EF46B8">
        <w:t>Requirement</w:t>
      </w:r>
      <w:r>
        <w:t xml:space="preserve"> for Fixed </w:t>
      </w:r>
      <w:r w:rsidR="004E1BC8">
        <w:t xml:space="preserve">Cost </w:t>
      </w:r>
      <w:r>
        <w:t>Rate?</w:t>
      </w:r>
    </w:p>
    <w:p w14:paraId="4D417159" w14:textId="77777777" w:rsidR="001E56D8" w:rsidRDefault="001E56D8">
      <w:pPr>
        <w:spacing w:line="276" w:lineRule="auto"/>
        <w:ind w:left="144" w:firstLine="720"/>
      </w:pPr>
      <w:r>
        <w:t xml:space="preserve">Units: </w:t>
      </w:r>
      <w:proofErr w:type="gramStart"/>
      <w:r>
        <w:t>boolean</w:t>
      </w:r>
      <w:proofErr w:type="gramEnd"/>
      <w:r>
        <w:t xml:space="preserve"> (TRUE/FALSE)</w:t>
      </w:r>
    </w:p>
    <w:p w14:paraId="62A63F58" w14:textId="77777777" w:rsidR="001E56D8" w:rsidRDefault="001E56D8">
      <w:pPr>
        <w:spacing w:line="276" w:lineRule="auto"/>
        <w:ind w:left="864"/>
      </w:pPr>
      <w:r>
        <w:t>Description:</w:t>
      </w:r>
    </w:p>
    <w:p w14:paraId="1ED8EEE8" w14:textId="711DE648" w:rsidR="001E56D8" w:rsidRDefault="001E56D8" w:rsidP="00EF46B8">
      <w:pPr>
        <w:spacing w:line="276" w:lineRule="auto"/>
        <w:ind w:left="1440"/>
      </w:pPr>
      <w:r>
        <w:t xml:space="preserve">This input is asking if the utility revenue requirement should be used </w:t>
      </w:r>
      <w:r w:rsidR="0045151B">
        <w:t xml:space="preserve">to calculate </w:t>
      </w:r>
      <w:r>
        <w:t xml:space="preserve">the fixed </w:t>
      </w:r>
      <w:r w:rsidR="0045151B">
        <w:t xml:space="preserve">cost portion of the average </w:t>
      </w:r>
      <w:r>
        <w:t xml:space="preserve">rate or if </w:t>
      </w:r>
      <w:r w:rsidR="00BB32A2">
        <w:t>the difference between the</w:t>
      </w:r>
      <w:r>
        <w:t xml:space="preserve"> average</w:t>
      </w:r>
      <w:r w:rsidR="00BB32A2">
        <w:t xml:space="preserve"> rate and the</w:t>
      </w:r>
      <w:r>
        <w:t xml:space="preserve"> </w:t>
      </w:r>
      <w:r w:rsidR="00BB32A2">
        <w:t xml:space="preserve">average variable </w:t>
      </w:r>
      <w:r w:rsidR="00EF46B8">
        <w:t xml:space="preserve">rate </w:t>
      </w:r>
      <w:r>
        <w:t xml:space="preserve">should be </w:t>
      </w:r>
      <w:r w:rsidR="0045151B">
        <w:t>used</w:t>
      </w:r>
      <w:r>
        <w:t>.</w:t>
      </w:r>
      <w:r w:rsidR="0045151B">
        <w:t xml:space="preserve"> Using the utility revenue requirements may not capture adjustments as a result of utility rate cases</w:t>
      </w:r>
      <w:r w:rsidR="00EF46B8">
        <w:t>,</w:t>
      </w:r>
      <w:r w:rsidR="0045151B">
        <w:t xml:space="preserve"> which would be captured with an entered variable cost rate. </w:t>
      </w:r>
    </w:p>
    <w:p w14:paraId="03520F41" w14:textId="77777777" w:rsidR="00A35BE3" w:rsidRDefault="00A35BE3">
      <w:pPr>
        <w:spacing w:line="276" w:lineRule="auto"/>
      </w:pPr>
    </w:p>
    <w:p w14:paraId="337563C0" w14:textId="3E8B6287" w:rsidR="00065949" w:rsidRDefault="00065949" w:rsidP="00065949">
      <w:pPr>
        <w:spacing w:line="276" w:lineRule="auto"/>
        <w:ind w:firstLine="720"/>
      </w:pPr>
      <w:r>
        <w:t xml:space="preserve">Rate </w:t>
      </w:r>
      <w:r w:rsidR="00BB7170">
        <w:t>class’s</w:t>
      </w:r>
      <w:r>
        <w:t xml:space="preserve"> share of fixed cost</w:t>
      </w:r>
    </w:p>
    <w:p w14:paraId="3980923E" w14:textId="695C9FCA" w:rsidR="00065949" w:rsidRDefault="00065949" w:rsidP="00065949">
      <w:pPr>
        <w:spacing w:line="276" w:lineRule="auto"/>
        <w:ind w:left="144" w:firstLine="720"/>
      </w:pPr>
      <w:r>
        <w:t>Units: %</w:t>
      </w:r>
    </w:p>
    <w:p w14:paraId="14773808" w14:textId="77777777" w:rsidR="00065949" w:rsidRDefault="00065949" w:rsidP="00065949">
      <w:pPr>
        <w:spacing w:line="276" w:lineRule="auto"/>
        <w:ind w:left="864"/>
      </w:pPr>
      <w:r>
        <w:t>Description:</w:t>
      </w:r>
    </w:p>
    <w:p w14:paraId="3CAD46C6" w14:textId="1F66947F" w:rsidR="00065949" w:rsidRDefault="00065949" w:rsidP="00065949">
      <w:pPr>
        <w:spacing w:line="276" w:lineRule="auto"/>
        <w:ind w:left="1440"/>
      </w:pPr>
      <w:r>
        <w:t xml:space="preserve">This input is asking for the amount of the utilities total fixed costs that is paid for by the rates of this rate class (residential or commercial and industrial). </w:t>
      </w:r>
    </w:p>
    <w:p w14:paraId="5E80F8CA" w14:textId="77777777" w:rsidR="00065949" w:rsidRDefault="00065949" w:rsidP="00065949">
      <w:pPr>
        <w:spacing w:line="276" w:lineRule="auto"/>
        <w:ind w:firstLine="900"/>
      </w:pPr>
      <w:r>
        <w:t>Example Calculation:</w:t>
      </w:r>
    </w:p>
    <w:p w14:paraId="14D53594" w14:textId="0E9A0B66" w:rsidR="00065949" w:rsidRDefault="00065949" w:rsidP="00065949">
      <w:pPr>
        <w:spacing w:line="276" w:lineRule="auto"/>
        <w:ind w:left="1440"/>
      </w:pPr>
      <w:r>
        <w:t xml:space="preserve">Calculated by dividing the total fixed revenue from the rate class by the total fixed revenue from all rate classes. </w:t>
      </w:r>
    </w:p>
    <w:p w14:paraId="52751A39" w14:textId="6473ECC6" w:rsidR="00065949" w:rsidRDefault="00065949" w:rsidP="00065949">
      <w:pPr>
        <w:spacing w:line="276" w:lineRule="auto"/>
        <w:ind w:left="1440" w:hanging="585"/>
        <w:rPr>
          <w:rStyle w:val="Hyperlink"/>
        </w:rPr>
      </w:pPr>
      <w:r>
        <w:t xml:space="preserve">Source: </w:t>
      </w:r>
      <w:hyperlink r:id="rId36" w:history="1">
        <w:r>
          <w:rPr>
            <w:rStyle w:val="Hyperlink"/>
          </w:rPr>
          <w:t>SEC</w:t>
        </w:r>
      </w:hyperlink>
      <w:hyperlink r:id="rId37" w:history="1">
        <w:r>
          <w:rPr>
            <w:rStyle w:val="Hyperlink"/>
          </w:rPr>
          <w:t xml:space="preserve"> 10-K</w:t>
        </w:r>
      </w:hyperlink>
    </w:p>
    <w:p w14:paraId="751CA71E" w14:textId="77777777" w:rsidR="005F5C1E" w:rsidRDefault="005F5C1E">
      <w:pPr>
        <w:suppressAutoHyphens w:val="0"/>
        <w:rPr>
          <w:rStyle w:val="Hyperlink"/>
          <w:u w:val="none"/>
        </w:rPr>
      </w:pPr>
    </w:p>
    <w:p w14:paraId="25AEA313" w14:textId="77777777" w:rsidR="000427D8" w:rsidRDefault="000427D8">
      <w:pPr>
        <w:suppressAutoHyphens w:val="0"/>
      </w:pPr>
      <w:r>
        <w:br w:type="page"/>
      </w:r>
    </w:p>
    <w:p w14:paraId="104F64EC" w14:textId="449866DA" w:rsidR="00BB7170" w:rsidRDefault="00BB7170" w:rsidP="00BB7170">
      <w:pPr>
        <w:spacing w:line="276" w:lineRule="auto"/>
        <w:ind w:firstLine="720"/>
      </w:pPr>
      <w:r>
        <w:t xml:space="preserve">Average Demand Charge in Y0 </w:t>
      </w:r>
    </w:p>
    <w:p w14:paraId="50DF7DF0" w14:textId="76B6E367" w:rsidR="00BB7170" w:rsidRDefault="00BB7170" w:rsidP="00BB7170">
      <w:pPr>
        <w:spacing w:line="276" w:lineRule="auto"/>
        <w:ind w:left="144" w:firstLine="720"/>
      </w:pPr>
      <w:r>
        <w:t>Units: $/kW</w:t>
      </w:r>
    </w:p>
    <w:p w14:paraId="28EF2F9D" w14:textId="77777777" w:rsidR="00BB7170" w:rsidRDefault="00BB7170" w:rsidP="00BB7170">
      <w:pPr>
        <w:spacing w:line="276" w:lineRule="auto"/>
        <w:ind w:left="864"/>
      </w:pPr>
      <w:r>
        <w:t>Description:</w:t>
      </w:r>
    </w:p>
    <w:p w14:paraId="7B026230" w14:textId="12089435" w:rsidR="00BB7170" w:rsidRDefault="00BB7170" w:rsidP="00BB7170">
      <w:pPr>
        <w:spacing w:line="276" w:lineRule="auto"/>
        <w:ind w:left="1440"/>
      </w:pPr>
      <w:r>
        <w:t>This input is asking for the average number of dollars customers paid for each kW of power they required during their peak period. In asking for the value in year zero, this conventionally means the most recent year for which data is available.</w:t>
      </w:r>
    </w:p>
    <w:p w14:paraId="7BAE931F" w14:textId="6E2A7338" w:rsidR="00BB7170" w:rsidRDefault="00BB7170" w:rsidP="00BB7170">
      <w:pPr>
        <w:suppressAutoHyphens w:val="0"/>
        <w:ind w:left="144" w:firstLine="720"/>
        <w:rPr>
          <w:rStyle w:val="Hyperlink"/>
          <w:u w:val="none"/>
        </w:rPr>
      </w:pPr>
      <w:r>
        <w:t xml:space="preserve">Source: </w:t>
      </w:r>
      <w:hyperlink r:id="rId38" w:history="1">
        <w:r>
          <w:rPr>
            <w:rStyle w:val="Hyperlink"/>
          </w:rPr>
          <w:t>SEC</w:t>
        </w:r>
      </w:hyperlink>
      <w:hyperlink r:id="rId39" w:history="1">
        <w:r>
          <w:rPr>
            <w:rStyle w:val="Hyperlink"/>
          </w:rPr>
          <w:t xml:space="preserve"> 10-K</w:t>
        </w:r>
      </w:hyperlink>
      <w:r>
        <w:rPr>
          <w:rStyle w:val="Hyperlink"/>
          <w:u w:val="none"/>
        </w:rPr>
        <w:t xml:space="preserve"> or published rate schedule</w:t>
      </w:r>
    </w:p>
    <w:p w14:paraId="37B2CD45" w14:textId="77777777" w:rsidR="000427D8" w:rsidRPr="00BB7170" w:rsidRDefault="000427D8" w:rsidP="000427D8">
      <w:pPr>
        <w:suppressAutoHyphens w:val="0"/>
        <w:rPr>
          <w:rStyle w:val="Hyperlink"/>
          <w:u w:val="none"/>
        </w:rPr>
      </w:pPr>
    </w:p>
    <w:p w14:paraId="7E1FE356" w14:textId="2904C4B7" w:rsidR="001E56D8" w:rsidRDefault="001E56D8">
      <w:pPr>
        <w:pStyle w:val="Heading4"/>
        <w:spacing w:line="276" w:lineRule="auto"/>
      </w:pPr>
      <w:r>
        <w:t>Program Cost Recovery Sub-Module</w:t>
      </w:r>
    </w:p>
    <w:p w14:paraId="28615953" w14:textId="38256497" w:rsidR="001E56D8" w:rsidRDefault="001E56D8">
      <w:pPr>
        <w:spacing w:line="276" w:lineRule="auto"/>
        <w:ind w:firstLine="720"/>
      </w:pPr>
      <w:r>
        <w:t>The Program Cost Recovery sub-module allows for multiple methods of program cost recovery. It contains the following inputs:</w:t>
      </w:r>
    </w:p>
    <w:p w14:paraId="0D90B453" w14:textId="77777777" w:rsidR="005F5C1E" w:rsidRDefault="005F5C1E">
      <w:pPr>
        <w:spacing w:line="276" w:lineRule="auto"/>
        <w:ind w:firstLine="720"/>
      </w:pPr>
    </w:p>
    <w:p w14:paraId="39AC921B" w14:textId="640CCD82" w:rsidR="001E56D8" w:rsidRDefault="005F5C1E" w:rsidP="00EE6B91">
      <w:pPr>
        <w:spacing w:line="276" w:lineRule="auto"/>
        <w:jc w:val="center"/>
      </w:pPr>
      <w:r>
        <w:rPr>
          <w:noProof/>
          <w:lang w:eastAsia="en-US"/>
        </w:rPr>
        <w:drawing>
          <wp:inline distT="0" distB="0" distL="0" distR="0" wp14:anchorId="3FFAA770" wp14:editId="093904C8">
            <wp:extent cx="3695700" cy="1062661"/>
            <wp:effectExtent l="0" t="0" r="0" b="4445"/>
            <wp:docPr id="38" name="Picture 38" descr="Macintosh HD:Users:Ben:Desktop:Screen Shot 2014-10-28 at 2.53.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Desktop:Screen Shot 2014-10-28 at 2.53.55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5700" cy="1062661"/>
                    </a:xfrm>
                    <a:prstGeom prst="rect">
                      <a:avLst/>
                    </a:prstGeom>
                    <a:noFill/>
                    <a:ln>
                      <a:noFill/>
                    </a:ln>
                  </pic:spPr>
                </pic:pic>
              </a:graphicData>
            </a:graphic>
          </wp:inline>
        </w:drawing>
      </w:r>
    </w:p>
    <w:p w14:paraId="5A34D6E8" w14:textId="77777777" w:rsidR="005F5C1E" w:rsidRDefault="005F5C1E" w:rsidP="005F5C1E">
      <w:pPr>
        <w:spacing w:line="276" w:lineRule="auto"/>
        <w:ind w:firstLine="720"/>
      </w:pPr>
    </w:p>
    <w:p w14:paraId="2C6DDE31" w14:textId="77777777" w:rsidR="001E56D8" w:rsidRDefault="003F0EB4" w:rsidP="00980699">
      <w:pPr>
        <w:spacing w:line="276" w:lineRule="auto"/>
      </w:pPr>
      <w:r>
        <w:t xml:space="preserve">The source of these inputs will usually be rules or rulings of the PSC but the sub-module can also be used to test alternatives scenarios. </w:t>
      </w:r>
      <w:r w:rsidR="00811DB3">
        <w:t xml:space="preserve">At most only one method should be marked TRUE at a time. </w:t>
      </w:r>
    </w:p>
    <w:p w14:paraId="163703A8" w14:textId="77777777" w:rsidR="00EE6B91" w:rsidRDefault="00EE6B91">
      <w:pPr>
        <w:spacing w:line="276" w:lineRule="auto"/>
        <w:ind w:firstLine="720"/>
      </w:pPr>
    </w:p>
    <w:p w14:paraId="0ED6E3B0" w14:textId="77777777" w:rsidR="001E56D8" w:rsidRDefault="001E56D8">
      <w:pPr>
        <w:spacing w:line="276" w:lineRule="auto"/>
        <w:ind w:firstLine="720"/>
      </w:pPr>
      <w:r>
        <w:t>Expensed Cost Recovery</w:t>
      </w:r>
    </w:p>
    <w:p w14:paraId="64E99A99" w14:textId="77777777" w:rsidR="001E56D8" w:rsidRDefault="001E56D8">
      <w:pPr>
        <w:spacing w:line="276" w:lineRule="auto"/>
        <w:ind w:left="144" w:firstLine="720"/>
      </w:pPr>
      <w:r>
        <w:t xml:space="preserve">Units: </w:t>
      </w:r>
      <w:proofErr w:type="gramStart"/>
      <w:r>
        <w:t>boolean</w:t>
      </w:r>
      <w:proofErr w:type="gramEnd"/>
      <w:r>
        <w:t xml:space="preserve"> (TRUE/FALSE)</w:t>
      </w:r>
    </w:p>
    <w:p w14:paraId="70DCBA3E" w14:textId="77777777" w:rsidR="001E56D8" w:rsidRDefault="001E56D8">
      <w:pPr>
        <w:spacing w:line="276" w:lineRule="auto"/>
        <w:ind w:left="864"/>
      </w:pPr>
      <w:r>
        <w:t>Description:</w:t>
      </w:r>
    </w:p>
    <w:p w14:paraId="5EE1D47B" w14:textId="77777777" w:rsidR="001E56D8" w:rsidRDefault="001E56D8">
      <w:pPr>
        <w:spacing w:line="276" w:lineRule="auto"/>
        <w:ind w:left="1440"/>
      </w:pPr>
      <w:r>
        <w:t xml:space="preserve">This input is asking if the program cost should be recovered as an annual expense across all customers in the </w:t>
      </w:r>
      <w:r w:rsidR="000C5FFA">
        <w:t>customer class</w:t>
      </w:r>
      <w:r>
        <w:t>.</w:t>
      </w:r>
    </w:p>
    <w:p w14:paraId="18A16B8C" w14:textId="77777777" w:rsidR="001E56D8" w:rsidRDefault="001E56D8">
      <w:pPr>
        <w:spacing w:line="276" w:lineRule="auto"/>
        <w:ind w:left="1440"/>
      </w:pPr>
    </w:p>
    <w:p w14:paraId="03A78CD1" w14:textId="77777777" w:rsidR="001E56D8" w:rsidRDefault="001E56D8">
      <w:pPr>
        <w:spacing w:line="276" w:lineRule="auto"/>
        <w:ind w:firstLine="720"/>
      </w:pPr>
      <w:r>
        <w:t>Amortized Cost Recovery</w:t>
      </w:r>
    </w:p>
    <w:p w14:paraId="4DD1CED2" w14:textId="77777777" w:rsidR="001E56D8" w:rsidRDefault="001E56D8">
      <w:pPr>
        <w:spacing w:line="276" w:lineRule="auto"/>
        <w:ind w:left="144" w:firstLine="720"/>
      </w:pPr>
      <w:r>
        <w:t xml:space="preserve">Units: </w:t>
      </w:r>
      <w:proofErr w:type="gramStart"/>
      <w:r>
        <w:t>boolean</w:t>
      </w:r>
      <w:proofErr w:type="gramEnd"/>
      <w:r>
        <w:t xml:space="preserve"> (TRUE/FALSE)</w:t>
      </w:r>
    </w:p>
    <w:p w14:paraId="04F81E2B" w14:textId="77777777" w:rsidR="001E56D8" w:rsidRDefault="001E56D8">
      <w:pPr>
        <w:spacing w:line="276" w:lineRule="auto"/>
        <w:ind w:left="864"/>
      </w:pPr>
      <w:r>
        <w:t>Description:</w:t>
      </w:r>
    </w:p>
    <w:p w14:paraId="3DA9FCDC" w14:textId="77777777" w:rsidR="001E56D8" w:rsidRDefault="001E56D8">
      <w:pPr>
        <w:spacing w:line="276" w:lineRule="auto"/>
        <w:ind w:left="1440"/>
      </w:pPr>
      <w:r>
        <w:t xml:space="preserve">This input is asking if the program cost should be recovered as an amortized expense across all customers in the </w:t>
      </w:r>
      <w:r w:rsidR="000C5FFA">
        <w:t xml:space="preserve">customer class </w:t>
      </w:r>
      <w:r>
        <w:t xml:space="preserve">over </w:t>
      </w:r>
      <w:r w:rsidR="000C5FFA">
        <w:t>multiple</w:t>
      </w:r>
      <w:r>
        <w:t xml:space="preserve"> year</w:t>
      </w:r>
      <w:r w:rsidR="000C5FFA">
        <w:t>s</w:t>
      </w:r>
      <w:r>
        <w:t>.</w:t>
      </w:r>
    </w:p>
    <w:p w14:paraId="36ED2147" w14:textId="77777777" w:rsidR="00473BF1" w:rsidRDefault="00473BF1" w:rsidP="00EF46B8">
      <w:pPr>
        <w:spacing w:line="276" w:lineRule="auto"/>
      </w:pPr>
    </w:p>
    <w:p w14:paraId="121C2A9B" w14:textId="77777777" w:rsidR="000427D8" w:rsidRDefault="000427D8">
      <w:pPr>
        <w:suppressAutoHyphens w:val="0"/>
      </w:pPr>
      <w:r>
        <w:br w:type="page"/>
      </w:r>
    </w:p>
    <w:p w14:paraId="42227490" w14:textId="6179A0D6" w:rsidR="001E56D8" w:rsidRDefault="001E56D8">
      <w:pPr>
        <w:spacing w:line="276" w:lineRule="auto"/>
        <w:ind w:firstLine="720"/>
      </w:pPr>
      <w:r>
        <w:t>Over Measure Lifetime</w:t>
      </w:r>
    </w:p>
    <w:p w14:paraId="3EDE9500" w14:textId="77777777" w:rsidR="001E56D8" w:rsidRDefault="001E56D8">
      <w:pPr>
        <w:spacing w:line="276" w:lineRule="auto"/>
        <w:ind w:left="144" w:firstLine="720"/>
      </w:pPr>
      <w:r>
        <w:t xml:space="preserve">Units: </w:t>
      </w:r>
      <w:proofErr w:type="gramStart"/>
      <w:r>
        <w:t>boolean</w:t>
      </w:r>
      <w:proofErr w:type="gramEnd"/>
      <w:r>
        <w:t xml:space="preserve"> (TRUE/FALSE)</w:t>
      </w:r>
    </w:p>
    <w:p w14:paraId="7C06EEEC" w14:textId="77777777" w:rsidR="001E56D8" w:rsidRDefault="001E56D8">
      <w:pPr>
        <w:spacing w:line="276" w:lineRule="auto"/>
        <w:ind w:left="864"/>
      </w:pPr>
      <w:r>
        <w:t>Description:</w:t>
      </w:r>
    </w:p>
    <w:p w14:paraId="3108D057" w14:textId="669608B9" w:rsidR="005F5C1E" w:rsidRDefault="001E56D8">
      <w:pPr>
        <w:spacing w:line="276" w:lineRule="auto"/>
        <w:ind w:left="1440"/>
      </w:pPr>
      <w:r>
        <w:t>This input is asking if the amortized program cost should be recovered over a number of years equal to the average lifetime of all measures</w:t>
      </w:r>
      <w:r w:rsidR="00C818B8">
        <w:t xml:space="preserve"> for the customer class</w:t>
      </w:r>
      <w:r>
        <w:t>.</w:t>
      </w:r>
    </w:p>
    <w:p w14:paraId="579403B8" w14:textId="77777777" w:rsidR="00EE6B91" w:rsidRDefault="00EE6B91">
      <w:pPr>
        <w:spacing w:line="276" w:lineRule="auto"/>
        <w:ind w:firstLine="720"/>
      </w:pPr>
    </w:p>
    <w:p w14:paraId="7D1A296D" w14:textId="64B0BA14" w:rsidR="001E56D8" w:rsidRDefault="001E56D8">
      <w:pPr>
        <w:spacing w:line="276" w:lineRule="auto"/>
        <w:ind w:firstLine="720"/>
      </w:pPr>
      <w:r>
        <w:t>Over Set Years</w:t>
      </w:r>
    </w:p>
    <w:p w14:paraId="6FB43F71" w14:textId="77777777" w:rsidR="001E56D8" w:rsidRDefault="001E56D8">
      <w:pPr>
        <w:spacing w:line="276" w:lineRule="auto"/>
        <w:ind w:left="144" w:firstLine="720"/>
      </w:pPr>
      <w:r>
        <w:t>Units: years</w:t>
      </w:r>
    </w:p>
    <w:p w14:paraId="70F2D433" w14:textId="77777777" w:rsidR="001E56D8" w:rsidRDefault="001E56D8">
      <w:pPr>
        <w:spacing w:line="276" w:lineRule="auto"/>
        <w:ind w:left="864"/>
      </w:pPr>
      <w:r>
        <w:t>Description:</w:t>
      </w:r>
    </w:p>
    <w:p w14:paraId="2EC39600" w14:textId="77777777" w:rsidR="001E56D8" w:rsidRDefault="001E56D8">
      <w:pPr>
        <w:spacing w:line="276" w:lineRule="auto"/>
        <w:ind w:left="1440"/>
      </w:pPr>
      <w:r>
        <w:t xml:space="preserve">This input is asking over how many years the amortized program cost should be recovered. This is only used if 'Over Measure Lifetime' is marked as FALSE. </w:t>
      </w:r>
    </w:p>
    <w:p w14:paraId="205E4004" w14:textId="77777777" w:rsidR="001E56D8" w:rsidRDefault="001E56D8">
      <w:pPr>
        <w:spacing w:line="276" w:lineRule="auto"/>
        <w:ind w:left="1440"/>
      </w:pPr>
    </w:p>
    <w:p w14:paraId="5ACA8DE7" w14:textId="77777777" w:rsidR="001E56D8" w:rsidRDefault="001E56D8">
      <w:pPr>
        <w:pStyle w:val="Heading4"/>
        <w:spacing w:line="276" w:lineRule="auto"/>
      </w:pPr>
      <w:r>
        <w:t>Lost Revenue Recovery Sub-Module</w:t>
      </w:r>
    </w:p>
    <w:p w14:paraId="27B2B674" w14:textId="77777777" w:rsidR="001E56D8" w:rsidRDefault="00A76890" w:rsidP="00EE6B91">
      <w:pPr>
        <w:spacing w:line="276" w:lineRule="auto"/>
      </w:pPr>
      <w:r>
        <w:rPr>
          <w:noProof/>
          <w:lang w:eastAsia="en-US"/>
        </w:rPr>
        <w:drawing>
          <wp:anchor distT="0" distB="0" distL="0" distR="0" simplePos="0" relativeHeight="251651584" behindDoc="0" locked="0" layoutInCell="1" allowOverlap="1" wp14:anchorId="12D2B988" wp14:editId="072F67F7">
            <wp:simplePos x="0" y="0"/>
            <wp:positionH relativeFrom="column">
              <wp:posOffset>890905</wp:posOffset>
            </wp:positionH>
            <wp:positionV relativeFrom="paragraph">
              <wp:posOffset>615315</wp:posOffset>
            </wp:positionV>
            <wp:extent cx="3702685" cy="1045845"/>
            <wp:effectExtent l="0" t="0" r="5715" b="0"/>
            <wp:wrapTopAndBottom/>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2685" cy="1045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E56D8">
        <w:t>The Lost Revenue Recovery sub-module allows for lost revenue to be recovered by the utility through different methods. It contains the following inputs:</w:t>
      </w:r>
    </w:p>
    <w:p w14:paraId="0E0E4A53" w14:textId="77777777" w:rsidR="001E56D8" w:rsidRDefault="001E56D8" w:rsidP="00980699">
      <w:pPr>
        <w:spacing w:line="276" w:lineRule="auto"/>
      </w:pPr>
    </w:p>
    <w:p w14:paraId="5545FEE2" w14:textId="77777777" w:rsidR="0060031F" w:rsidRDefault="0060031F" w:rsidP="00980699">
      <w:pPr>
        <w:spacing w:line="276" w:lineRule="auto"/>
      </w:pPr>
      <w:r>
        <w:t>The source of these inputs will usually be rules or rulings of the PSC but the sub-module can also be used to test alternatives scenarios.</w:t>
      </w:r>
      <w:r w:rsidR="00811DB3">
        <w:t xml:space="preserve"> At most only one method should be marked TRUE at a time. </w:t>
      </w:r>
    </w:p>
    <w:p w14:paraId="79500ECC" w14:textId="77777777" w:rsidR="001E56D8" w:rsidRDefault="001E56D8">
      <w:pPr>
        <w:spacing w:line="276" w:lineRule="auto"/>
        <w:ind w:firstLine="720"/>
      </w:pPr>
    </w:p>
    <w:p w14:paraId="0F549B21" w14:textId="77777777" w:rsidR="001E56D8" w:rsidRDefault="001E56D8">
      <w:pPr>
        <w:spacing w:line="276" w:lineRule="auto"/>
        <w:ind w:firstLine="720"/>
      </w:pPr>
      <w:r>
        <w:t>Lost Revenue Adjustment Mechanism</w:t>
      </w:r>
    </w:p>
    <w:p w14:paraId="3BCFED92" w14:textId="77777777" w:rsidR="001E56D8" w:rsidRDefault="001E56D8">
      <w:pPr>
        <w:spacing w:line="276" w:lineRule="auto"/>
        <w:ind w:left="144" w:firstLine="720"/>
      </w:pPr>
      <w:r>
        <w:t xml:space="preserve">Units: </w:t>
      </w:r>
      <w:proofErr w:type="gramStart"/>
      <w:r>
        <w:t>boolean</w:t>
      </w:r>
      <w:proofErr w:type="gramEnd"/>
      <w:r>
        <w:t xml:space="preserve"> (TRUE/FALSE)</w:t>
      </w:r>
    </w:p>
    <w:p w14:paraId="32D9D6CD" w14:textId="77777777" w:rsidR="001E56D8" w:rsidRDefault="001E56D8">
      <w:pPr>
        <w:spacing w:line="276" w:lineRule="auto"/>
        <w:ind w:left="864"/>
      </w:pPr>
      <w:r>
        <w:t>Description:</w:t>
      </w:r>
    </w:p>
    <w:p w14:paraId="6A124B5D" w14:textId="77777777" w:rsidR="001E56D8" w:rsidRDefault="001E56D8">
      <w:pPr>
        <w:spacing w:line="276" w:lineRule="auto"/>
        <w:ind w:left="1440"/>
      </w:pPr>
      <w:r>
        <w:t xml:space="preserve">This input is asking if lost revenues should be recovered across all customers in the </w:t>
      </w:r>
      <w:r w:rsidR="0060031F">
        <w:t xml:space="preserve">customer class </w:t>
      </w:r>
      <w:r>
        <w:t>using a lost revenue recovery adjustment mechanism</w:t>
      </w:r>
      <w:r w:rsidR="00231857">
        <w:rPr>
          <w:rStyle w:val="FootnoteReference"/>
        </w:rPr>
        <w:footnoteReference w:id="19"/>
      </w:r>
      <w:r>
        <w:t>.</w:t>
      </w:r>
    </w:p>
    <w:p w14:paraId="4F8A9FC8" w14:textId="77777777" w:rsidR="002E2667" w:rsidRDefault="002E2667" w:rsidP="00E22B98">
      <w:pPr>
        <w:spacing w:line="276" w:lineRule="auto"/>
      </w:pPr>
    </w:p>
    <w:p w14:paraId="2570E499" w14:textId="77777777" w:rsidR="000427D8" w:rsidRDefault="000427D8">
      <w:pPr>
        <w:suppressAutoHyphens w:val="0"/>
      </w:pPr>
      <w:r>
        <w:br w:type="page"/>
      </w:r>
    </w:p>
    <w:p w14:paraId="142089A9" w14:textId="5D9B2F42" w:rsidR="001E56D8" w:rsidRDefault="001E56D8">
      <w:pPr>
        <w:spacing w:line="276" w:lineRule="auto"/>
        <w:ind w:firstLine="720"/>
      </w:pPr>
      <w:r>
        <w:t>Per Customer Decoupling</w:t>
      </w:r>
    </w:p>
    <w:p w14:paraId="3F4DCF3E" w14:textId="77777777" w:rsidR="001E56D8" w:rsidRDefault="001E56D8">
      <w:pPr>
        <w:spacing w:line="276" w:lineRule="auto"/>
        <w:ind w:left="144" w:firstLine="720"/>
      </w:pPr>
      <w:r>
        <w:t xml:space="preserve">Units: </w:t>
      </w:r>
      <w:proofErr w:type="gramStart"/>
      <w:r>
        <w:t>boolean</w:t>
      </w:r>
      <w:proofErr w:type="gramEnd"/>
      <w:r>
        <w:t xml:space="preserve"> (TRUE/FALSE)</w:t>
      </w:r>
    </w:p>
    <w:p w14:paraId="271455DE" w14:textId="77777777" w:rsidR="001E56D8" w:rsidRDefault="001E56D8">
      <w:pPr>
        <w:spacing w:line="276" w:lineRule="auto"/>
        <w:ind w:left="864"/>
      </w:pPr>
      <w:r>
        <w:t>Description:</w:t>
      </w:r>
    </w:p>
    <w:p w14:paraId="522EDF0B" w14:textId="7E12BE6F" w:rsidR="00920D33" w:rsidRDefault="001E56D8">
      <w:pPr>
        <w:spacing w:line="276" w:lineRule="auto"/>
        <w:ind w:left="1440"/>
      </w:pPr>
      <w:r>
        <w:t xml:space="preserve">This input is asking if lost revenues should be recovered across all customers in the </w:t>
      </w:r>
      <w:r w:rsidR="0060031F">
        <w:t xml:space="preserve">customer class </w:t>
      </w:r>
      <w:r>
        <w:t>using a decoupling mechanism based on an allowed revenue per customer</w:t>
      </w:r>
      <w:r w:rsidR="001B5F6A" w:rsidRPr="00E22B98">
        <w:rPr>
          <w:vertAlign w:val="superscript"/>
        </w:rPr>
        <w:t>1</w:t>
      </w:r>
      <w:r w:rsidR="00C22511">
        <w:rPr>
          <w:vertAlign w:val="superscript"/>
        </w:rPr>
        <w:t>9</w:t>
      </w:r>
      <w:r>
        <w:t>.</w:t>
      </w:r>
    </w:p>
    <w:p w14:paraId="645F92D1" w14:textId="77777777" w:rsidR="00EE6B91" w:rsidRDefault="00EE6B91">
      <w:pPr>
        <w:spacing w:line="276" w:lineRule="auto"/>
        <w:ind w:firstLine="720"/>
      </w:pPr>
    </w:p>
    <w:p w14:paraId="1984545D" w14:textId="18649940" w:rsidR="001E56D8" w:rsidRDefault="001E56D8">
      <w:pPr>
        <w:spacing w:line="276" w:lineRule="auto"/>
        <w:ind w:firstLine="720"/>
      </w:pPr>
      <w:r>
        <w:t>Straight Fixed Variables Rate</w:t>
      </w:r>
    </w:p>
    <w:p w14:paraId="04A5393F" w14:textId="7CE6EFF4" w:rsidR="001E56D8" w:rsidRDefault="00C22511" w:rsidP="00E22B98">
      <w:pPr>
        <w:spacing w:line="276" w:lineRule="auto"/>
        <w:ind w:left="144" w:firstLine="720"/>
      </w:pPr>
      <w:r>
        <w:t>Units: Boolean (TRUE/FALSE)</w:t>
      </w:r>
    </w:p>
    <w:p w14:paraId="0E375C91" w14:textId="3647FEC1" w:rsidR="00C22511" w:rsidRDefault="00C22511" w:rsidP="00E22B98">
      <w:pPr>
        <w:spacing w:line="276" w:lineRule="auto"/>
        <w:ind w:left="144" w:firstLine="720"/>
      </w:pPr>
      <w:r>
        <w:t>Description:</w:t>
      </w:r>
    </w:p>
    <w:p w14:paraId="42905635" w14:textId="251FC144" w:rsidR="00C22511" w:rsidRDefault="00920D33" w:rsidP="00920D33">
      <w:pPr>
        <w:spacing w:line="276" w:lineRule="auto"/>
        <w:ind w:left="1440"/>
      </w:pPr>
      <w:r>
        <w:t>This input is asking if some of fixed revenues should be recovered by applying a single charge to all customers in equal amount regardless of usage.</w:t>
      </w:r>
    </w:p>
    <w:p w14:paraId="5191E7F9" w14:textId="77777777" w:rsidR="001E56D8" w:rsidRDefault="001E56D8" w:rsidP="00E22B98">
      <w:pPr>
        <w:spacing w:line="276" w:lineRule="auto"/>
      </w:pPr>
    </w:p>
    <w:p w14:paraId="332F3D8D" w14:textId="20B0B52B" w:rsidR="00920D33" w:rsidRDefault="00920D33" w:rsidP="00920D33">
      <w:pPr>
        <w:spacing w:line="276" w:lineRule="auto"/>
        <w:ind w:firstLine="720"/>
      </w:pPr>
      <w:r>
        <w:t>Percent of Fixed Cost Recovered as Charge</w:t>
      </w:r>
    </w:p>
    <w:p w14:paraId="36590C4F" w14:textId="77777777" w:rsidR="00920D33" w:rsidRDefault="00920D33" w:rsidP="00920D33">
      <w:pPr>
        <w:spacing w:line="276" w:lineRule="auto"/>
        <w:ind w:left="144" w:firstLine="720"/>
      </w:pPr>
      <w:r>
        <w:t>Units: Boolean (TRUE/FALSE)</w:t>
      </w:r>
    </w:p>
    <w:p w14:paraId="113A147C" w14:textId="77777777" w:rsidR="00920D33" w:rsidRDefault="00920D33" w:rsidP="00920D33">
      <w:pPr>
        <w:spacing w:line="276" w:lineRule="auto"/>
        <w:ind w:left="144" w:firstLine="720"/>
      </w:pPr>
      <w:r>
        <w:t>Description:</w:t>
      </w:r>
    </w:p>
    <w:p w14:paraId="5BDFC902" w14:textId="796D8196" w:rsidR="00920D33" w:rsidRDefault="00920D33" w:rsidP="00920D33">
      <w:pPr>
        <w:spacing w:line="276" w:lineRule="auto"/>
        <w:ind w:left="1440"/>
      </w:pPr>
      <w:r>
        <w:t xml:space="preserve">This input is asking how much of the fixed costs from the utility should be recovered using the straight fixed charge, if it is selected (see above). </w:t>
      </w:r>
      <w:r w:rsidR="00795E79">
        <w:t>If less than 100% is selected then the straight fixed variables rate can be paired with either of the other two lost revenue recovery methods.</w:t>
      </w:r>
    </w:p>
    <w:p w14:paraId="31727FDD" w14:textId="77777777" w:rsidR="00920D33" w:rsidRDefault="00920D33" w:rsidP="00920D33">
      <w:pPr>
        <w:spacing w:line="276" w:lineRule="auto"/>
        <w:ind w:left="1440"/>
      </w:pPr>
    </w:p>
    <w:p w14:paraId="657D1D3D" w14:textId="77777777" w:rsidR="001E56D8" w:rsidRDefault="001E56D8">
      <w:pPr>
        <w:pStyle w:val="Heading4"/>
        <w:spacing w:line="276" w:lineRule="auto"/>
      </w:pPr>
      <w:r>
        <w:t>Levelized Cost of EE Sub-Module</w:t>
      </w:r>
    </w:p>
    <w:p w14:paraId="0BD78894" w14:textId="7A14BF36" w:rsidR="001E56D8" w:rsidRDefault="001E56D8">
      <w:pPr>
        <w:spacing w:line="276" w:lineRule="auto"/>
        <w:ind w:firstLine="720"/>
      </w:pPr>
      <w:r>
        <w:t xml:space="preserve">The Levelized Cost of EE sub-module </w:t>
      </w:r>
      <w:r w:rsidR="00FC0B78">
        <w:t xml:space="preserve">calculates the </w:t>
      </w:r>
      <w:r w:rsidR="002F1564">
        <w:t>c</w:t>
      </w:r>
      <w:r w:rsidR="00FC0B78">
        <w:t>ost per kWh of the energy efficiency program</w:t>
      </w:r>
      <w:r w:rsidR="002F1564">
        <w:t xml:space="preserve"> </w:t>
      </w:r>
      <w:r w:rsidR="00B7716B">
        <w:t xml:space="preserve">savings </w:t>
      </w:r>
      <w:r w:rsidR="002F1564">
        <w:t>using a discount rate to adjust the value to Y0 dollars</w:t>
      </w:r>
      <w:r w:rsidR="00FC0B78">
        <w:t xml:space="preserve">. </w:t>
      </w:r>
      <w:r>
        <w:t>It contains the following inputs:</w:t>
      </w:r>
    </w:p>
    <w:p w14:paraId="669F39F4" w14:textId="77777777" w:rsidR="001E56D8" w:rsidRDefault="001E56D8">
      <w:pPr>
        <w:spacing w:line="276" w:lineRule="auto"/>
      </w:pPr>
    </w:p>
    <w:p w14:paraId="057F3B95" w14:textId="14D35C66" w:rsidR="001E56D8" w:rsidRDefault="003247B4" w:rsidP="00ED7B9A">
      <w:pPr>
        <w:spacing w:line="276" w:lineRule="auto"/>
        <w:jc w:val="center"/>
      </w:pPr>
      <w:r>
        <w:rPr>
          <w:noProof/>
          <w:lang w:eastAsia="en-US"/>
        </w:rPr>
        <w:drawing>
          <wp:inline distT="0" distB="0" distL="0" distR="0" wp14:anchorId="0B8C7B1E" wp14:editId="632923CD">
            <wp:extent cx="3695700" cy="7919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8 at 3.04.18 PM.png"/>
                    <pic:cNvPicPr/>
                  </pic:nvPicPr>
                  <pic:blipFill>
                    <a:blip r:embed="rId42">
                      <a:extLst>
                        <a:ext uri="{28A0092B-C50C-407E-A947-70E740481C1C}">
                          <a14:useLocalDpi xmlns:a14="http://schemas.microsoft.com/office/drawing/2010/main" val="0"/>
                        </a:ext>
                      </a:extLst>
                    </a:blip>
                    <a:stretch>
                      <a:fillRect/>
                    </a:stretch>
                  </pic:blipFill>
                  <pic:spPr>
                    <a:xfrm>
                      <a:off x="0" y="0"/>
                      <a:ext cx="3695700" cy="791936"/>
                    </a:xfrm>
                    <a:prstGeom prst="rect">
                      <a:avLst/>
                    </a:prstGeom>
                  </pic:spPr>
                </pic:pic>
              </a:graphicData>
            </a:graphic>
          </wp:inline>
        </w:drawing>
      </w:r>
    </w:p>
    <w:p w14:paraId="08F862FF" w14:textId="77777777" w:rsidR="003247B4" w:rsidRDefault="003247B4">
      <w:pPr>
        <w:spacing w:line="276" w:lineRule="auto"/>
      </w:pPr>
    </w:p>
    <w:p w14:paraId="1F1F011C" w14:textId="77777777" w:rsidR="000427D8" w:rsidRDefault="000427D8">
      <w:pPr>
        <w:suppressAutoHyphens w:val="0"/>
      </w:pPr>
      <w:r>
        <w:br w:type="page"/>
      </w:r>
    </w:p>
    <w:p w14:paraId="7D1D72DB" w14:textId="76FE9174" w:rsidR="001E56D8" w:rsidRDefault="001E56D8">
      <w:pPr>
        <w:spacing w:line="276" w:lineRule="auto"/>
        <w:ind w:firstLine="720"/>
      </w:pPr>
      <w:r>
        <w:t>Discount Rate</w:t>
      </w:r>
    </w:p>
    <w:p w14:paraId="6DCC3072" w14:textId="77777777" w:rsidR="001E56D8" w:rsidRDefault="001E56D8">
      <w:pPr>
        <w:spacing w:line="276" w:lineRule="auto"/>
        <w:ind w:left="144" w:firstLine="720"/>
      </w:pPr>
      <w:r>
        <w:t>Units: %</w:t>
      </w:r>
    </w:p>
    <w:p w14:paraId="4D6B6D0A" w14:textId="77777777" w:rsidR="001E56D8" w:rsidRDefault="001E56D8">
      <w:pPr>
        <w:spacing w:line="276" w:lineRule="auto"/>
        <w:ind w:left="144" w:firstLine="720"/>
      </w:pPr>
      <w:r>
        <w:t xml:space="preserve">Description: </w:t>
      </w:r>
    </w:p>
    <w:p w14:paraId="2D42FA91" w14:textId="44B79809" w:rsidR="001E56D8" w:rsidRDefault="001E56D8">
      <w:pPr>
        <w:spacing w:line="276" w:lineRule="auto"/>
        <w:ind w:left="1440"/>
      </w:pPr>
      <w:r>
        <w:t>This input is asking for the amount to discount money for each year in the future it is projected.</w:t>
      </w:r>
      <w:r w:rsidR="00BC6477">
        <w:t xml:space="preserve"> </w:t>
      </w:r>
      <w:r w:rsidR="001B5F6A">
        <w:t xml:space="preserve">The suggested standard in this case is the Weighted Average Cost of Capital (WACC). </w:t>
      </w:r>
    </w:p>
    <w:p w14:paraId="7D934FA9" w14:textId="77777777" w:rsidR="0088597B" w:rsidRDefault="0088597B" w:rsidP="00E22B98">
      <w:pPr>
        <w:spacing w:line="276" w:lineRule="auto"/>
        <w:ind w:firstLine="900"/>
      </w:pPr>
      <w:r>
        <w:t>Example Calculation:</w:t>
      </w:r>
    </w:p>
    <w:p w14:paraId="3CA388BD" w14:textId="64037456" w:rsidR="001B5F6A" w:rsidRDefault="001B5F6A" w:rsidP="00E22B98">
      <w:pPr>
        <w:spacing w:line="276" w:lineRule="auto"/>
        <w:ind w:left="720" w:firstLine="720"/>
      </w:pPr>
      <w:r>
        <w:t>Can be calculated using the following formula:</w:t>
      </w:r>
    </w:p>
    <w:p w14:paraId="7392F10A" w14:textId="3EDBB90B" w:rsidR="001B5F6A" w:rsidRPr="00E22B98" w:rsidRDefault="001B5F6A" w:rsidP="00E22B98">
      <w:pPr>
        <w:spacing w:line="276" w:lineRule="auto"/>
        <w:jc w:val="center"/>
        <w:rPr>
          <w:i/>
        </w:rPr>
      </w:pPr>
      <w:r>
        <w:rPr>
          <w:i/>
        </w:rPr>
        <w:t xml:space="preserve">WACC = %Debt * </w:t>
      </w:r>
      <w:proofErr w:type="spellStart"/>
      <w:r>
        <w:rPr>
          <w:i/>
        </w:rPr>
        <w:t>CostOfDebt</w:t>
      </w:r>
      <w:proofErr w:type="spellEnd"/>
      <w:r>
        <w:rPr>
          <w:i/>
        </w:rPr>
        <w:t xml:space="preserve"> + %Equity * </w:t>
      </w:r>
      <w:proofErr w:type="spellStart"/>
      <w:r>
        <w:rPr>
          <w:i/>
        </w:rPr>
        <w:t>CostOfEquity</w:t>
      </w:r>
      <w:proofErr w:type="spellEnd"/>
    </w:p>
    <w:p w14:paraId="6FD755EF" w14:textId="77777777" w:rsidR="001E56D8" w:rsidRDefault="00011359" w:rsidP="00E22B98">
      <w:pPr>
        <w:spacing w:line="276" w:lineRule="auto"/>
        <w:ind w:left="1440" w:hanging="540"/>
      </w:pPr>
      <w:r>
        <w:t>Source: See sources on Cost of Debt (see 2.2) and Cost of Equity or ROE (see 2.2)</w:t>
      </w:r>
    </w:p>
    <w:p w14:paraId="0CD5013E" w14:textId="77777777" w:rsidR="00ED7B9A" w:rsidRDefault="00ED7B9A">
      <w:pPr>
        <w:spacing w:line="276" w:lineRule="auto"/>
        <w:ind w:left="1440"/>
      </w:pPr>
    </w:p>
    <w:p w14:paraId="6F0FEECF" w14:textId="55EF2011" w:rsidR="001E56D8" w:rsidRDefault="001E56D8">
      <w:pPr>
        <w:spacing w:line="276" w:lineRule="auto"/>
        <w:ind w:firstLine="720"/>
      </w:pPr>
      <w:r>
        <w:t>Transmission &amp; Distribution Losses</w:t>
      </w:r>
    </w:p>
    <w:p w14:paraId="514966F2" w14:textId="77777777" w:rsidR="001E56D8" w:rsidRDefault="001E56D8">
      <w:pPr>
        <w:spacing w:line="276" w:lineRule="auto"/>
        <w:ind w:left="144" w:firstLine="720"/>
      </w:pPr>
      <w:r>
        <w:t>Units: %</w:t>
      </w:r>
    </w:p>
    <w:p w14:paraId="07FF338D" w14:textId="77777777" w:rsidR="001E56D8" w:rsidRDefault="001E56D8">
      <w:pPr>
        <w:spacing w:line="276" w:lineRule="auto"/>
        <w:ind w:left="144" w:firstLine="720"/>
      </w:pPr>
      <w:r>
        <w:t xml:space="preserve">Description: </w:t>
      </w:r>
    </w:p>
    <w:p w14:paraId="64694F55" w14:textId="77777777" w:rsidR="001E56D8" w:rsidRDefault="001E56D8">
      <w:pPr>
        <w:spacing w:line="276" w:lineRule="auto"/>
        <w:ind w:left="1440"/>
      </w:pPr>
      <w:r>
        <w:t xml:space="preserve">This input is asking for the percent of energy that is lost in transmission and distribution. </w:t>
      </w:r>
    </w:p>
    <w:p w14:paraId="3715690A" w14:textId="4B2AA822" w:rsidR="001E56D8" w:rsidRDefault="00A35BE3" w:rsidP="001B5F6A">
      <w:pPr>
        <w:spacing w:line="276" w:lineRule="auto"/>
        <w:ind w:firstLine="900"/>
      </w:pPr>
      <w:r>
        <w:t>Source:</w:t>
      </w:r>
      <w:r w:rsidR="001B5F6A">
        <w:t xml:space="preserve"> EIA Annual Energy Review</w:t>
      </w:r>
    </w:p>
    <w:p w14:paraId="1D7CC9DE" w14:textId="77777777" w:rsidR="0036083C" w:rsidRDefault="0036083C" w:rsidP="001B5F6A">
      <w:pPr>
        <w:spacing w:line="276" w:lineRule="auto"/>
        <w:ind w:firstLine="900"/>
      </w:pPr>
    </w:p>
    <w:p w14:paraId="4B6B7375" w14:textId="4190481F" w:rsidR="001E56D8" w:rsidRDefault="001E56D8">
      <w:pPr>
        <w:pStyle w:val="Heading4"/>
        <w:spacing w:line="276" w:lineRule="auto"/>
      </w:pPr>
      <w:r>
        <w:t>Fuel Use Shift Sub-Module</w:t>
      </w:r>
    </w:p>
    <w:p w14:paraId="54AB823B" w14:textId="0DBF719C" w:rsidR="00411662" w:rsidRDefault="001E56D8">
      <w:pPr>
        <w:spacing w:line="276" w:lineRule="auto"/>
        <w:ind w:firstLine="720"/>
      </w:pPr>
      <w:r>
        <w:t xml:space="preserve">The Fuel Use Shift sub-module accounts for the effects of the energy efficiency program savings on average </w:t>
      </w:r>
      <w:r w:rsidR="000E217F">
        <w:t>cost of production</w:t>
      </w:r>
      <w:r>
        <w:t xml:space="preserve">. </w:t>
      </w:r>
      <w:r w:rsidR="000E217F">
        <w:t>Includes both the impact of reduced demand and the shifting of customer load profiles</w:t>
      </w:r>
      <w:r w:rsidR="001D01E6">
        <w:t xml:space="preserve"> on the average cost of fuel</w:t>
      </w:r>
      <w:r w:rsidR="000E217F">
        <w:t xml:space="preserve">. This effect is a small change in rates but is significant </w:t>
      </w:r>
      <w:r w:rsidR="00BD79E9">
        <w:t xml:space="preserve">change in bills </w:t>
      </w:r>
      <w:r w:rsidR="000E217F">
        <w:t xml:space="preserve">because it </w:t>
      </w:r>
      <w:r w:rsidR="00406C9D">
        <w:t xml:space="preserve">benefits </w:t>
      </w:r>
      <w:r w:rsidR="000E217F">
        <w:t>customers across</w:t>
      </w:r>
      <w:r w:rsidR="00406C9D">
        <w:t xml:space="preserve"> all</w:t>
      </w:r>
      <w:r w:rsidR="000E217F">
        <w:t xml:space="preserve"> classes. </w:t>
      </w:r>
      <w:r>
        <w:t>The inputs for the sub-module are listed below:</w:t>
      </w:r>
      <w:r w:rsidR="0036083C">
        <w:t xml:space="preserve"> </w:t>
      </w:r>
    </w:p>
    <w:p w14:paraId="165970DD" w14:textId="77777777" w:rsidR="0036083C" w:rsidRDefault="0036083C">
      <w:pPr>
        <w:spacing w:line="276" w:lineRule="auto"/>
        <w:ind w:firstLine="720"/>
      </w:pPr>
    </w:p>
    <w:p w14:paraId="507260F3" w14:textId="482AF669" w:rsidR="001E56D8" w:rsidRDefault="00B824C5" w:rsidP="00411662">
      <w:pPr>
        <w:spacing w:line="276" w:lineRule="auto"/>
        <w:jc w:val="center"/>
      </w:pPr>
      <w:r>
        <w:rPr>
          <w:noProof/>
          <w:lang w:eastAsia="en-US"/>
        </w:rPr>
        <w:drawing>
          <wp:inline distT="0" distB="0" distL="0" distR="0" wp14:anchorId="2D036B96" wp14:editId="1733E850">
            <wp:extent cx="3721323" cy="1917700"/>
            <wp:effectExtent l="0" t="0" r="1270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721323" cy="1917700"/>
                    </a:xfrm>
                    <a:prstGeom prst="rect">
                      <a:avLst/>
                    </a:prstGeom>
                    <a:solidFill>
                      <a:srgbClr val="FFFFFF"/>
                    </a:solidFill>
                    <a:ln>
                      <a:noFill/>
                    </a:ln>
                  </pic:spPr>
                </pic:pic>
              </a:graphicData>
            </a:graphic>
          </wp:inline>
        </w:drawing>
      </w:r>
    </w:p>
    <w:p w14:paraId="084F88F5" w14:textId="77777777" w:rsidR="0036083C" w:rsidRDefault="0036083C">
      <w:pPr>
        <w:suppressAutoHyphens w:val="0"/>
      </w:pPr>
    </w:p>
    <w:p w14:paraId="6FC5D915" w14:textId="0CC4A397" w:rsidR="0036083C" w:rsidRDefault="0036083C">
      <w:pPr>
        <w:suppressAutoHyphens w:val="0"/>
      </w:pPr>
      <w:r>
        <w:br w:type="page"/>
      </w:r>
    </w:p>
    <w:p w14:paraId="084352FC" w14:textId="004B9CAA" w:rsidR="001E56D8" w:rsidRDefault="001E56D8">
      <w:pPr>
        <w:spacing w:line="276" w:lineRule="auto"/>
        <w:ind w:firstLine="720"/>
      </w:pPr>
      <w:r>
        <w:rPr>
          <w:u w:val="single"/>
        </w:rPr>
        <w:t>Peak Period:</w:t>
      </w:r>
    </w:p>
    <w:p w14:paraId="19D34F90" w14:textId="77777777" w:rsidR="001E56D8" w:rsidRDefault="001E56D8">
      <w:pPr>
        <w:spacing w:line="276" w:lineRule="auto"/>
        <w:ind w:firstLine="720"/>
      </w:pPr>
      <w:r>
        <w:t>Peak Duration</w:t>
      </w:r>
    </w:p>
    <w:p w14:paraId="5A9FFBC3" w14:textId="77777777" w:rsidR="001E56D8" w:rsidRDefault="001E56D8">
      <w:pPr>
        <w:spacing w:line="276" w:lineRule="auto"/>
        <w:ind w:left="144" w:firstLine="720"/>
      </w:pPr>
      <w:r>
        <w:t>Units: hours</w:t>
      </w:r>
    </w:p>
    <w:p w14:paraId="468A4760" w14:textId="77777777" w:rsidR="001E56D8" w:rsidRDefault="001E56D8">
      <w:pPr>
        <w:spacing w:line="276" w:lineRule="auto"/>
        <w:ind w:left="144" w:firstLine="720"/>
      </w:pPr>
      <w:r>
        <w:t xml:space="preserve">Description: </w:t>
      </w:r>
    </w:p>
    <w:p w14:paraId="41E0F80E" w14:textId="0EDC741C" w:rsidR="001E56D8" w:rsidRDefault="001E56D8">
      <w:pPr>
        <w:spacing w:line="276" w:lineRule="auto"/>
        <w:ind w:left="1440"/>
      </w:pPr>
      <w:r>
        <w:t>This input is asking for the number of hours that are considered the peak period each year. This and the following input are used to calculate the energy used during the peak period in year zero.</w:t>
      </w:r>
      <w:r w:rsidR="006E5496">
        <w:t xml:space="preserve"> </w:t>
      </w:r>
      <w:r w:rsidR="002211B9">
        <w:t>It is important to ensure that the cost and capacity throughout the tool be consistent with this definition of the peak period to have maximum accuracy</w:t>
      </w:r>
      <w:r w:rsidR="002211B9">
        <w:rPr>
          <w:rStyle w:val="FootnoteReference"/>
        </w:rPr>
        <w:footnoteReference w:id="20"/>
      </w:r>
      <w:r w:rsidR="002211B9">
        <w:t xml:space="preserve">. </w:t>
      </w:r>
    </w:p>
    <w:p w14:paraId="6E99042E" w14:textId="51527B05" w:rsidR="001151BB" w:rsidRDefault="001151BB" w:rsidP="00E22B98">
      <w:pPr>
        <w:spacing w:line="276" w:lineRule="auto"/>
        <w:ind w:left="1440" w:hanging="540"/>
      </w:pPr>
      <w:r>
        <w:t>Source: Individual Utility Policy usually reflected in tariffs</w:t>
      </w:r>
      <w:r w:rsidR="002211B9">
        <w:rPr>
          <w:rStyle w:val="FootnoteReference"/>
        </w:rPr>
        <w:footnoteReference w:id="21"/>
      </w:r>
      <w:r w:rsidR="002211B9">
        <w:t>.</w:t>
      </w:r>
      <w:r w:rsidR="00106D2C">
        <w:t xml:space="preserve"> </w:t>
      </w:r>
    </w:p>
    <w:p w14:paraId="28476E4E" w14:textId="77777777" w:rsidR="00EE6B91" w:rsidRDefault="00EE6B91">
      <w:pPr>
        <w:spacing w:line="276" w:lineRule="auto"/>
      </w:pPr>
    </w:p>
    <w:p w14:paraId="5C133FC4" w14:textId="77777777" w:rsidR="001E56D8" w:rsidRDefault="001E56D8">
      <w:pPr>
        <w:spacing w:line="276" w:lineRule="auto"/>
        <w:ind w:firstLine="720"/>
      </w:pPr>
      <w:r>
        <w:t>On-Peak Average Capacity in Y0</w:t>
      </w:r>
    </w:p>
    <w:p w14:paraId="69821F69" w14:textId="77777777" w:rsidR="001E56D8" w:rsidRDefault="001E56D8">
      <w:pPr>
        <w:spacing w:line="276" w:lineRule="auto"/>
        <w:ind w:left="144" w:firstLine="720"/>
      </w:pPr>
      <w:r>
        <w:t>Units: kW</w:t>
      </w:r>
    </w:p>
    <w:p w14:paraId="3FFBFDD9" w14:textId="77777777" w:rsidR="001E56D8" w:rsidRDefault="001E56D8">
      <w:pPr>
        <w:spacing w:line="276" w:lineRule="auto"/>
        <w:ind w:left="144" w:firstLine="720"/>
      </w:pPr>
      <w:r>
        <w:t xml:space="preserve">Description: </w:t>
      </w:r>
    </w:p>
    <w:p w14:paraId="40C02086" w14:textId="644652EB" w:rsidR="002211B9" w:rsidRDefault="001E56D8">
      <w:pPr>
        <w:spacing w:line="276" w:lineRule="auto"/>
        <w:ind w:left="1440"/>
      </w:pPr>
      <w:r>
        <w:t xml:space="preserve">This input is asking for the average capacity used during peak hours in year zero. </w:t>
      </w:r>
      <w:r w:rsidR="00FE7734">
        <w:t xml:space="preserve">The tool uses </w:t>
      </w:r>
      <w:r w:rsidR="00624CBC">
        <w:t xml:space="preserve">the Average Change in Demand (see 2.1) </w:t>
      </w:r>
      <w:r w:rsidR="00FE7734">
        <w:t>for the</w:t>
      </w:r>
      <w:r w:rsidR="00624CBC">
        <w:t xml:space="preserve"> growth rate of On-Peak Average Capacity</w:t>
      </w:r>
      <w:r w:rsidR="00FE7734">
        <w:t xml:space="preserve">. </w:t>
      </w:r>
    </w:p>
    <w:p w14:paraId="41464D97" w14:textId="25AC9890" w:rsidR="001E56D8" w:rsidRDefault="001E56D8" w:rsidP="00E22B98">
      <w:pPr>
        <w:spacing w:line="276" w:lineRule="auto"/>
        <w:ind w:left="1440" w:firstLine="720"/>
      </w:pPr>
      <w:r>
        <w:t>Asking for the value in year zero means the most recent year for which data is available, by convention. This and the previous input are used to calculate the energy used during the peak period in year zero.</w:t>
      </w:r>
    </w:p>
    <w:p w14:paraId="411B78F1" w14:textId="77777777" w:rsidR="000719BC" w:rsidRDefault="000719BC" w:rsidP="0036083C">
      <w:pPr>
        <w:spacing w:line="276" w:lineRule="auto"/>
        <w:ind w:firstLine="900"/>
      </w:pPr>
      <w:r>
        <w:t>Example Calculation:</w:t>
      </w:r>
    </w:p>
    <w:p w14:paraId="55FB7C48" w14:textId="7A0A3938" w:rsidR="000719BC" w:rsidRDefault="002211B9" w:rsidP="00E22B98">
      <w:pPr>
        <w:spacing w:line="276" w:lineRule="auto"/>
        <w:ind w:left="1440"/>
      </w:pPr>
      <w:r w:rsidRPr="00E22B98">
        <w:t xml:space="preserve">Can be calculated by averaging the </w:t>
      </w:r>
      <w:r w:rsidR="000D10DC">
        <w:t>value of all hourly demands over</w:t>
      </w:r>
      <w:r>
        <w:t xml:space="preserve"> the peak period</w:t>
      </w:r>
      <w:r w:rsidR="000D10DC">
        <w:t>.</w:t>
      </w:r>
      <w:r>
        <w:t xml:space="preserve"> </w:t>
      </w:r>
    </w:p>
    <w:p w14:paraId="2BDBC1FB" w14:textId="63A84137" w:rsidR="000719BC" w:rsidRDefault="000719BC" w:rsidP="0036083C">
      <w:pPr>
        <w:spacing w:line="276" w:lineRule="auto"/>
        <w:ind w:left="1440" w:hanging="540"/>
      </w:pPr>
      <w:r>
        <w:t xml:space="preserve">Source: </w:t>
      </w:r>
      <w:r w:rsidR="000D10DC">
        <w:t xml:space="preserve">PSC filings or </w:t>
      </w:r>
      <w:r w:rsidR="002211B9">
        <w:t>FERC 714 Schedule 2</w:t>
      </w:r>
      <w:r w:rsidR="002211B9">
        <w:rPr>
          <w:rStyle w:val="FootnoteReference"/>
        </w:rPr>
        <w:footnoteReference w:id="22"/>
      </w:r>
    </w:p>
    <w:p w14:paraId="4452461E" w14:textId="77777777" w:rsidR="000D10DC" w:rsidRDefault="000D10DC">
      <w:pPr>
        <w:spacing w:line="276" w:lineRule="auto"/>
      </w:pPr>
    </w:p>
    <w:p w14:paraId="4BB0AC9B" w14:textId="77777777" w:rsidR="0036083C" w:rsidRDefault="0036083C">
      <w:pPr>
        <w:suppressAutoHyphens w:val="0"/>
      </w:pPr>
      <w:r>
        <w:br w:type="page"/>
      </w:r>
    </w:p>
    <w:p w14:paraId="228544DA" w14:textId="2A52F5E9" w:rsidR="001E56D8" w:rsidRDefault="001E56D8">
      <w:pPr>
        <w:spacing w:line="276" w:lineRule="auto"/>
        <w:ind w:firstLine="720"/>
      </w:pPr>
      <w:r>
        <w:t>% of Savings On-Peak</w:t>
      </w:r>
    </w:p>
    <w:p w14:paraId="6DAF143E" w14:textId="77777777" w:rsidR="001E56D8" w:rsidRDefault="001E56D8">
      <w:pPr>
        <w:spacing w:line="276" w:lineRule="auto"/>
        <w:ind w:left="144" w:firstLine="720"/>
      </w:pPr>
      <w:r>
        <w:t>Units: %</w:t>
      </w:r>
    </w:p>
    <w:p w14:paraId="70A87F70" w14:textId="77777777" w:rsidR="001E56D8" w:rsidRDefault="001E56D8">
      <w:pPr>
        <w:spacing w:line="276" w:lineRule="auto"/>
        <w:ind w:left="144" w:firstLine="720"/>
      </w:pPr>
      <w:r>
        <w:t xml:space="preserve">Description: </w:t>
      </w:r>
    </w:p>
    <w:p w14:paraId="0B2DE1B4" w14:textId="48DAC95A" w:rsidR="001E56D8" w:rsidRDefault="001E56D8">
      <w:pPr>
        <w:spacing w:line="276" w:lineRule="auto"/>
        <w:ind w:left="1440"/>
      </w:pPr>
      <w:r>
        <w:t>This input is asking for the percent of savings from the energy efficiency program that occur</w:t>
      </w:r>
      <w:r w:rsidR="004E44A2">
        <w:t>s</w:t>
      </w:r>
      <w:r>
        <w:t xml:space="preserve"> during peak hours. </w:t>
      </w:r>
      <w:r w:rsidR="004E44A2">
        <w:t xml:space="preserve">These peak hours should match those </w:t>
      </w:r>
      <w:r w:rsidR="002211B9">
        <w:t>defined</w:t>
      </w:r>
      <w:r w:rsidR="004E44A2">
        <w:t xml:space="preserve"> in the Peak Duration input (see 2.1.1.5).</w:t>
      </w:r>
    </w:p>
    <w:p w14:paraId="7A386D29" w14:textId="77777777" w:rsidR="000D4650" w:rsidRDefault="000D4650" w:rsidP="000D10DC">
      <w:pPr>
        <w:spacing w:line="276" w:lineRule="auto"/>
        <w:ind w:firstLine="900"/>
      </w:pPr>
      <w:r>
        <w:t>Example Calculation:</w:t>
      </w:r>
    </w:p>
    <w:p w14:paraId="61C0B5A1" w14:textId="0B16E5CD" w:rsidR="000D4650" w:rsidRDefault="000D10DC" w:rsidP="000D10DC">
      <w:pPr>
        <w:spacing w:line="276" w:lineRule="auto"/>
        <w:ind w:left="1440"/>
      </w:pPr>
      <w:r w:rsidRPr="00E22B98">
        <w:t xml:space="preserve">Can be calculated using the supplementary tool. </w:t>
      </w:r>
      <w:r>
        <w:t>Allows for the entry of individual measures from the EE program. These are entered and aggregated based on end use, which allows for a weighted average of savings calculation based on the savings attributed to each end use and the usage profile of that end use.</w:t>
      </w:r>
    </w:p>
    <w:p w14:paraId="3941A246" w14:textId="1427591A" w:rsidR="00CC59EB" w:rsidRDefault="000D4650" w:rsidP="00CC59EB">
      <w:pPr>
        <w:spacing w:line="276" w:lineRule="auto"/>
        <w:ind w:left="1440" w:hanging="540"/>
      </w:pPr>
      <w:r>
        <w:t xml:space="preserve">Source: </w:t>
      </w:r>
      <w:r w:rsidR="00D6208F">
        <w:t>OpenEI.org and search for “load” for data and advice</w:t>
      </w:r>
      <w:r w:rsidR="00D6208F">
        <w:rPr>
          <w:rStyle w:val="FootnoteReference"/>
        </w:rPr>
        <w:footnoteReference w:id="23"/>
      </w:r>
      <w:r w:rsidR="00D6208F">
        <w:t>.</w:t>
      </w:r>
    </w:p>
    <w:p w14:paraId="53DAA2A7" w14:textId="77777777" w:rsidR="0036083C" w:rsidRDefault="0036083C">
      <w:pPr>
        <w:suppressAutoHyphens w:val="0"/>
      </w:pPr>
    </w:p>
    <w:p w14:paraId="15ECE6F6" w14:textId="231852BE" w:rsidR="001E56D8" w:rsidRDefault="00B824C5">
      <w:pPr>
        <w:spacing w:line="276" w:lineRule="auto"/>
        <w:ind w:firstLine="720"/>
      </w:pPr>
      <w:r>
        <w:rPr>
          <w:u w:val="single"/>
        </w:rPr>
        <w:t>Fuel Costs</w:t>
      </w:r>
      <w:r w:rsidR="001E56D8">
        <w:rPr>
          <w:u w:val="single"/>
        </w:rPr>
        <w:t>:</w:t>
      </w:r>
    </w:p>
    <w:p w14:paraId="518909B7" w14:textId="77777777" w:rsidR="0069380F" w:rsidRDefault="0069380F" w:rsidP="0069380F">
      <w:pPr>
        <w:spacing w:line="276" w:lineRule="auto"/>
        <w:ind w:firstLine="720"/>
      </w:pPr>
      <w:r>
        <w:t>On-Peak Average Fuel Cost</w:t>
      </w:r>
    </w:p>
    <w:p w14:paraId="1146A3F9" w14:textId="77777777" w:rsidR="0069380F" w:rsidRDefault="0069380F" w:rsidP="0069380F">
      <w:pPr>
        <w:spacing w:line="276" w:lineRule="auto"/>
        <w:ind w:left="144" w:firstLine="720"/>
      </w:pPr>
      <w:r>
        <w:t>Units: $/kWh</w:t>
      </w:r>
    </w:p>
    <w:p w14:paraId="5E0D4FE9" w14:textId="77777777" w:rsidR="0069380F" w:rsidRDefault="0069380F" w:rsidP="0069380F">
      <w:pPr>
        <w:spacing w:line="276" w:lineRule="auto"/>
        <w:ind w:left="144" w:firstLine="720"/>
      </w:pPr>
      <w:r>
        <w:t xml:space="preserve">Description: </w:t>
      </w:r>
    </w:p>
    <w:p w14:paraId="3FBF9049" w14:textId="77777777" w:rsidR="0069380F" w:rsidRDefault="0069380F" w:rsidP="0069380F">
      <w:pPr>
        <w:spacing w:line="276" w:lineRule="auto"/>
        <w:ind w:left="1440"/>
      </w:pPr>
      <w:r>
        <w:t xml:space="preserve">This input is asking for the utility’s average cost of fuel for the on-peak period. This includes fuel expenses, purchased power expenses, and any variable operations and maintenance (O&amp;M) costs that apply to the peak period. </w:t>
      </w:r>
    </w:p>
    <w:p w14:paraId="330F16EA" w14:textId="77777777" w:rsidR="0069380F" w:rsidRDefault="0069380F" w:rsidP="0069380F">
      <w:pPr>
        <w:spacing w:line="276" w:lineRule="auto"/>
        <w:ind w:left="870"/>
      </w:pPr>
      <w:r>
        <w:t>Example Calculation:</w:t>
      </w:r>
    </w:p>
    <w:p w14:paraId="64EED30A" w14:textId="1FEB0C34" w:rsidR="0069380F" w:rsidRDefault="00EF76C7" w:rsidP="0069380F">
      <w:pPr>
        <w:spacing w:line="276" w:lineRule="auto"/>
        <w:ind w:left="1440"/>
      </w:pPr>
      <w:r>
        <w:t xml:space="preserve">A calculation is only necessary if QF Avoided Cost is not available or if there is doubt of its validity. </w:t>
      </w:r>
      <w:r w:rsidR="0069380F">
        <w:t xml:space="preserve">Can be calculated by </w:t>
      </w:r>
      <w:r w:rsidR="00B62B7F">
        <w:t>fitting a line</w:t>
      </w:r>
      <w:r w:rsidR="002D1B45">
        <w:rPr>
          <w:rStyle w:val="FootnoteReference"/>
        </w:rPr>
        <w:footnoteReference w:id="24"/>
      </w:r>
      <w:r w:rsidR="00B62B7F">
        <w:t xml:space="preserve"> to the </w:t>
      </w:r>
      <w:r w:rsidR="0069380F">
        <w:t>hourly “system lambdas”</w:t>
      </w:r>
      <w:r w:rsidR="0069380F">
        <w:rPr>
          <w:rStyle w:val="FootnoteReference"/>
        </w:rPr>
        <w:footnoteReference w:id="25"/>
      </w:r>
      <w:r w:rsidR="00B62B7F">
        <w:t>, which represents to marginal cost curve for electricity production. Then the equation for the marginal cost curve should be integrat</w:t>
      </w:r>
      <w:r w:rsidR="00E62C7B">
        <w:t>ed</w:t>
      </w:r>
      <w:r w:rsidR="00B62B7F">
        <w:t xml:space="preserve"> to get the total cost curve</w:t>
      </w:r>
      <w:r w:rsidR="0069380F">
        <w:t>.</w:t>
      </w:r>
      <w:r w:rsidR="00E62C7B">
        <w:t xml:space="preserve"> Finally, use the on-peak average capacity (see 2.1.1.5) to find the average total cost during the peak period and divide it by the on-peak average capacity to get the on-peak average fuel cost.</w:t>
      </w:r>
    </w:p>
    <w:p w14:paraId="4672A929" w14:textId="5BB09E19" w:rsidR="0069380F" w:rsidRDefault="0069380F" w:rsidP="0069380F">
      <w:pPr>
        <w:spacing w:line="276" w:lineRule="auto"/>
        <w:ind w:firstLine="720"/>
      </w:pPr>
      <w:r>
        <w:t>Source:</w:t>
      </w:r>
      <w:r w:rsidDel="00282BDC">
        <w:t xml:space="preserve"> </w:t>
      </w:r>
      <w:r w:rsidR="00EF76C7">
        <w:t>QF Avoided Cost</w:t>
      </w:r>
      <w:r w:rsidR="00EF76C7">
        <w:rPr>
          <w:rStyle w:val="FootnoteReference"/>
        </w:rPr>
        <w:footnoteReference w:id="26"/>
      </w:r>
      <w:r w:rsidR="00EF76C7">
        <w:t xml:space="preserve">; </w:t>
      </w:r>
      <w:r>
        <w:t>FERC 714 for “system lambdas”</w:t>
      </w:r>
    </w:p>
    <w:p w14:paraId="568F04FF" w14:textId="059ED389" w:rsidR="001E56D8" w:rsidRDefault="00B824C5">
      <w:pPr>
        <w:spacing w:line="276" w:lineRule="auto"/>
        <w:ind w:firstLine="720"/>
      </w:pPr>
      <w:r>
        <w:t xml:space="preserve">On-Peak </w:t>
      </w:r>
      <w:r w:rsidR="0069380F">
        <w:t>Average Marginal</w:t>
      </w:r>
      <w:r>
        <w:t xml:space="preserve"> Fuel Cost</w:t>
      </w:r>
    </w:p>
    <w:p w14:paraId="47BF7F88" w14:textId="2DAAE04B" w:rsidR="001E56D8" w:rsidRDefault="001E56D8">
      <w:pPr>
        <w:spacing w:line="276" w:lineRule="auto"/>
        <w:ind w:left="144" w:firstLine="720"/>
      </w:pPr>
      <w:r>
        <w:t>Units: $/</w:t>
      </w:r>
      <w:r w:rsidR="00B824C5">
        <w:t>kWh</w:t>
      </w:r>
    </w:p>
    <w:p w14:paraId="188C5688" w14:textId="0F6B713E" w:rsidR="001E56D8" w:rsidRDefault="001E56D8">
      <w:pPr>
        <w:spacing w:line="276" w:lineRule="auto"/>
        <w:ind w:left="144" w:firstLine="720"/>
      </w:pPr>
      <w:r>
        <w:t>Description:</w:t>
      </w:r>
      <w:r w:rsidR="00B824C5">
        <w:t xml:space="preserve"> </w:t>
      </w:r>
    </w:p>
    <w:p w14:paraId="022E2AA9" w14:textId="5BBC4303" w:rsidR="0069380F" w:rsidRDefault="0069380F" w:rsidP="0069380F">
      <w:pPr>
        <w:spacing w:line="276" w:lineRule="auto"/>
        <w:ind w:left="1440"/>
      </w:pPr>
      <w:r>
        <w:t xml:space="preserve">This input is asking for the utility’s average marginal cost of fuel for the on-peak period. This includes fuel expenses, purchased power expenses, and any variable operations and maintenance (O&amp;M) costs that apply to the peak period. </w:t>
      </w:r>
    </w:p>
    <w:p w14:paraId="402735FD" w14:textId="77777777" w:rsidR="0069380F" w:rsidRDefault="0069380F" w:rsidP="0069380F">
      <w:pPr>
        <w:spacing w:line="276" w:lineRule="auto"/>
        <w:ind w:left="870"/>
      </w:pPr>
      <w:r>
        <w:t>Example Calculation:</w:t>
      </w:r>
    </w:p>
    <w:p w14:paraId="3B4F0547" w14:textId="7D7BE84B" w:rsidR="0069380F" w:rsidRDefault="0069380F" w:rsidP="0069380F">
      <w:pPr>
        <w:spacing w:line="276" w:lineRule="auto"/>
        <w:ind w:left="1440"/>
      </w:pPr>
      <w:r>
        <w:t>Can be calculated by averaging the hourly “system lambdas”</w:t>
      </w:r>
      <w:r>
        <w:rPr>
          <w:rStyle w:val="FootnoteReference"/>
        </w:rPr>
        <w:footnoteReference w:id="27"/>
      </w:r>
      <w:r>
        <w:t xml:space="preserve"> for the peak period. </w:t>
      </w:r>
      <w:r w:rsidR="00E93F4C">
        <w:t>The holding company “system lambda” may be necessary to use but works just as well.</w:t>
      </w:r>
    </w:p>
    <w:p w14:paraId="618A4185" w14:textId="2283E0E6" w:rsidR="0069380F" w:rsidRDefault="0069380F" w:rsidP="0069380F">
      <w:pPr>
        <w:spacing w:line="276" w:lineRule="auto"/>
        <w:ind w:left="1440" w:hanging="540"/>
      </w:pPr>
      <w:r>
        <w:t>Source:</w:t>
      </w:r>
      <w:r w:rsidDel="00282BDC">
        <w:t xml:space="preserve"> </w:t>
      </w:r>
      <w:r>
        <w:t>FERC 714 for “system lambdas”</w:t>
      </w:r>
    </w:p>
    <w:p w14:paraId="304CA6C8" w14:textId="77777777" w:rsidR="00CC59EB" w:rsidRDefault="00CC59EB" w:rsidP="0070727F">
      <w:pPr>
        <w:spacing w:line="276" w:lineRule="auto"/>
      </w:pPr>
    </w:p>
    <w:p w14:paraId="00FE7B92" w14:textId="6B47C37C" w:rsidR="00E62C7B" w:rsidRDefault="00E62C7B" w:rsidP="00E62C7B">
      <w:pPr>
        <w:spacing w:line="276" w:lineRule="auto"/>
        <w:ind w:firstLine="720"/>
      </w:pPr>
      <w:r>
        <w:t>Off-Peak Average Fuel Cost</w:t>
      </w:r>
    </w:p>
    <w:p w14:paraId="3DD731E8" w14:textId="77777777" w:rsidR="00E62C7B" w:rsidRDefault="00E62C7B" w:rsidP="00E62C7B">
      <w:pPr>
        <w:spacing w:line="276" w:lineRule="auto"/>
        <w:ind w:left="144" w:firstLine="720"/>
      </w:pPr>
      <w:r>
        <w:t>Units: $/kWh</w:t>
      </w:r>
    </w:p>
    <w:p w14:paraId="03A26F06" w14:textId="77777777" w:rsidR="00E62C7B" w:rsidRDefault="00E62C7B" w:rsidP="00E62C7B">
      <w:pPr>
        <w:spacing w:line="276" w:lineRule="auto"/>
        <w:ind w:left="144" w:firstLine="720"/>
      </w:pPr>
      <w:r>
        <w:t xml:space="preserve">Description: </w:t>
      </w:r>
    </w:p>
    <w:p w14:paraId="0989DAAD" w14:textId="5BD14DED" w:rsidR="00E62C7B" w:rsidRDefault="00E62C7B" w:rsidP="00E62C7B">
      <w:pPr>
        <w:spacing w:line="276" w:lineRule="auto"/>
        <w:ind w:left="1440"/>
      </w:pPr>
      <w:r>
        <w:t xml:space="preserve">This input is asking for the utility’s average cost of fuel for the off-peak period. This includes fuel expenses, purchased power expenses, and any variable operations and maintenance (O&amp;M) costs that apply to the off-peak period. </w:t>
      </w:r>
    </w:p>
    <w:p w14:paraId="0896D9BF" w14:textId="77777777" w:rsidR="00E62C7B" w:rsidRDefault="00E62C7B" w:rsidP="00E62C7B">
      <w:pPr>
        <w:spacing w:line="276" w:lineRule="auto"/>
        <w:ind w:left="870"/>
      </w:pPr>
      <w:r>
        <w:t>Example Calculation:</w:t>
      </w:r>
    </w:p>
    <w:p w14:paraId="1E2C1F06" w14:textId="22215A42" w:rsidR="00E62C7B" w:rsidRDefault="00EF76C7" w:rsidP="00E62C7B">
      <w:pPr>
        <w:spacing w:line="276" w:lineRule="auto"/>
        <w:ind w:left="1440"/>
      </w:pPr>
      <w:r>
        <w:t xml:space="preserve">A calculation is only necessary if QF Avoided Cost is not available or if there is doubt of its validity. </w:t>
      </w:r>
      <w:r w:rsidR="00E62C7B">
        <w:t>Can be calculated by fitting a line</w:t>
      </w:r>
      <w:r w:rsidR="002D1B45">
        <w:rPr>
          <w:rStyle w:val="FootnoteReference"/>
        </w:rPr>
        <w:footnoteReference w:id="28"/>
      </w:r>
      <w:r w:rsidR="00E62C7B">
        <w:t xml:space="preserve"> to the hourly “system lambdas”</w:t>
      </w:r>
      <w:r w:rsidR="002D1B45" w:rsidRPr="0070727F">
        <w:rPr>
          <w:vertAlign w:val="superscript"/>
        </w:rPr>
        <w:t>24</w:t>
      </w:r>
      <w:r w:rsidR="00E62C7B">
        <w:t>, which represents to marginal cost curve for electricity production. Then the equation for the marginal cost curve should be integrated to get the total cost curve. Finally, use the off-peak average capacity to find the average total cost during the off-peak period and divide it by the off-peak average capacity to get the off-peak average fuel cost.</w:t>
      </w:r>
      <w:r w:rsidR="00E93F4C">
        <w:t xml:space="preserve"> The holding company “system lambda” may be necessary to use but works just as well.</w:t>
      </w:r>
    </w:p>
    <w:p w14:paraId="1DAEEA38" w14:textId="0E190058" w:rsidR="00E62C7B" w:rsidRDefault="00E62C7B" w:rsidP="00E62C7B">
      <w:pPr>
        <w:spacing w:line="276" w:lineRule="auto"/>
        <w:ind w:firstLine="900"/>
      </w:pPr>
      <w:r>
        <w:t>Source:</w:t>
      </w:r>
      <w:r w:rsidDel="00282BDC">
        <w:t xml:space="preserve"> </w:t>
      </w:r>
      <w:r w:rsidR="00EF76C7">
        <w:t>QF Avoided Cost</w:t>
      </w:r>
      <w:r w:rsidR="00EF76C7">
        <w:rPr>
          <w:rStyle w:val="FootnoteReference"/>
        </w:rPr>
        <w:footnoteReference w:id="29"/>
      </w:r>
      <w:r w:rsidR="00EF76C7">
        <w:t xml:space="preserve">; </w:t>
      </w:r>
      <w:r>
        <w:t>FERC 714 for “system lambdas”</w:t>
      </w:r>
    </w:p>
    <w:p w14:paraId="4D1E46E3" w14:textId="77777777" w:rsidR="00E62C7B" w:rsidRDefault="00E62C7B" w:rsidP="0069380F">
      <w:pPr>
        <w:spacing w:line="276" w:lineRule="auto"/>
        <w:ind w:firstLine="720"/>
      </w:pPr>
    </w:p>
    <w:p w14:paraId="12B313DE" w14:textId="77777777" w:rsidR="0036083C" w:rsidRDefault="0036083C">
      <w:pPr>
        <w:suppressAutoHyphens w:val="0"/>
      </w:pPr>
      <w:r>
        <w:br w:type="page"/>
      </w:r>
    </w:p>
    <w:p w14:paraId="7F96C892" w14:textId="00031E6E" w:rsidR="0069380F" w:rsidRDefault="0069380F" w:rsidP="0069380F">
      <w:pPr>
        <w:spacing w:line="276" w:lineRule="auto"/>
        <w:ind w:firstLine="720"/>
      </w:pPr>
      <w:r>
        <w:t>Off-Peak Average</w:t>
      </w:r>
      <w:r w:rsidR="00E62C7B">
        <w:t xml:space="preserve"> Marginal</w:t>
      </w:r>
      <w:r>
        <w:t xml:space="preserve"> Fuel Cost</w:t>
      </w:r>
    </w:p>
    <w:p w14:paraId="56998DE3" w14:textId="77777777" w:rsidR="0069380F" w:rsidRDefault="0069380F" w:rsidP="0069380F">
      <w:pPr>
        <w:spacing w:line="276" w:lineRule="auto"/>
        <w:ind w:left="144" w:firstLine="720"/>
      </w:pPr>
      <w:r>
        <w:t>Units: $/kWh</w:t>
      </w:r>
    </w:p>
    <w:p w14:paraId="5BE51940" w14:textId="77777777" w:rsidR="0069380F" w:rsidRDefault="0069380F" w:rsidP="0069380F">
      <w:pPr>
        <w:spacing w:line="276" w:lineRule="auto"/>
        <w:ind w:left="144" w:firstLine="720"/>
      </w:pPr>
      <w:r>
        <w:t xml:space="preserve">Description: </w:t>
      </w:r>
    </w:p>
    <w:p w14:paraId="7F0699A4" w14:textId="1B5BF56A" w:rsidR="0069380F" w:rsidRDefault="0069380F" w:rsidP="0069380F">
      <w:pPr>
        <w:spacing w:line="276" w:lineRule="auto"/>
        <w:ind w:left="1440"/>
      </w:pPr>
      <w:r>
        <w:t xml:space="preserve">This input is asking for the utility’s average cost of fuel for the off-peak period. This includes fuel expenses, purchased power expenses, and any variable operations and maintenance (O&amp;M) costs that apply to the off-peak period. </w:t>
      </w:r>
    </w:p>
    <w:p w14:paraId="3B413046" w14:textId="77777777" w:rsidR="0069380F" w:rsidRDefault="0069380F" w:rsidP="0069380F">
      <w:pPr>
        <w:spacing w:line="276" w:lineRule="auto"/>
        <w:ind w:left="870"/>
      </w:pPr>
      <w:r>
        <w:t>Example Calculation:</w:t>
      </w:r>
    </w:p>
    <w:p w14:paraId="4EE5C578" w14:textId="52E17F05" w:rsidR="0069380F" w:rsidRDefault="0069380F" w:rsidP="0069380F">
      <w:pPr>
        <w:spacing w:line="276" w:lineRule="auto"/>
        <w:ind w:left="1440"/>
      </w:pPr>
      <w:r>
        <w:t>Can be calculated by averaging the hourly “system lambdas”</w:t>
      </w:r>
      <w:r>
        <w:rPr>
          <w:rStyle w:val="FootnoteReference"/>
        </w:rPr>
        <w:footnoteReference w:id="30"/>
      </w:r>
      <w:r>
        <w:t xml:space="preserve"> for the off-peak period. </w:t>
      </w:r>
      <w:r w:rsidR="005F42B7">
        <w:t>The holding company “system lambda” may be necessary to use but works just as well.</w:t>
      </w:r>
    </w:p>
    <w:p w14:paraId="5FD576D7" w14:textId="253C1C5E" w:rsidR="0069380F" w:rsidRDefault="0069380F" w:rsidP="0069380F">
      <w:pPr>
        <w:spacing w:line="276" w:lineRule="auto"/>
        <w:ind w:left="1440" w:hanging="540"/>
      </w:pPr>
      <w:r>
        <w:t>Source:</w:t>
      </w:r>
      <w:r w:rsidDel="00282BDC">
        <w:t xml:space="preserve"> </w:t>
      </w:r>
      <w:r>
        <w:t>FERC 714 for “system lambdas”</w:t>
      </w:r>
    </w:p>
    <w:p w14:paraId="2BF0C564" w14:textId="77777777" w:rsidR="001E56D8" w:rsidRDefault="001E56D8">
      <w:pPr>
        <w:spacing w:line="276" w:lineRule="auto"/>
      </w:pPr>
    </w:p>
    <w:p w14:paraId="4ED16A3D" w14:textId="0168FB14" w:rsidR="001E56D8" w:rsidRDefault="003D4962">
      <w:pPr>
        <w:pStyle w:val="Heading4"/>
        <w:spacing w:line="276" w:lineRule="auto"/>
      </w:pPr>
      <w:r>
        <w:t xml:space="preserve">Smart </w:t>
      </w:r>
      <w:r w:rsidR="001E56D8">
        <w:t>Targeting Sub-Module</w:t>
      </w:r>
    </w:p>
    <w:p w14:paraId="52E588FD" w14:textId="3374E590" w:rsidR="001E56D8" w:rsidRDefault="001E56D8">
      <w:pPr>
        <w:spacing w:line="276" w:lineRule="auto"/>
        <w:ind w:firstLine="720"/>
      </w:pPr>
      <w:r>
        <w:t xml:space="preserve">The </w:t>
      </w:r>
      <w:r w:rsidR="003D4962">
        <w:t>Smart</w:t>
      </w:r>
      <w:r>
        <w:t xml:space="preserve"> Targeting sub-module allows analysis of additional targeting of the EE program. This sub-module is targeted at additional programs beyond those already planned or implemented so inputs are left up to the user to determine and validate.</w:t>
      </w:r>
      <w:r w:rsidR="003D4962">
        <w:t xml:space="preserve"> </w:t>
      </w:r>
    </w:p>
    <w:p w14:paraId="55865377" w14:textId="77777777" w:rsidR="00EE6B91" w:rsidRDefault="00EE6B91">
      <w:pPr>
        <w:spacing w:line="276" w:lineRule="auto"/>
        <w:ind w:firstLine="720"/>
      </w:pPr>
    </w:p>
    <w:p w14:paraId="57C75164" w14:textId="77777777" w:rsidR="00EE6B91" w:rsidRDefault="00EE6B91" w:rsidP="00EE6B91">
      <w:pPr>
        <w:spacing w:line="276" w:lineRule="auto"/>
        <w:jc w:val="center"/>
      </w:pPr>
      <w:r>
        <w:rPr>
          <w:noProof/>
          <w:lang w:eastAsia="en-US"/>
        </w:rPr>
        <w:drawing>
          <wp:inline distT="0" distB="0" distL="0" distR="0" wp14:anchorId="1D3CD6BF" wp14:editId="39B7B5D4">
            <wp:extent cx="3698875" cy="1472565"/>
            <wp:effectExtent l="0" t="0" r="9525" b="63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98875" cy="1472565"/>
                    </a:xfrm>
                    <a:prstGeom prst="rect">
                      <a:avLst/>
                    </a:prstGeom>
                    <a:solidFill>
                      <a:srgbClr val="FFFFFF"/>
                    </a:solidFill>
                    <a:ln>
                      <a:noFill/>
                    </a:ln>
                  </pic:spPr>
                </pic:pic>
              </a:graphicData>
            </a:graphic>
          </wp:inline>
        </w:drawing>
      </w:r>
    </w:p>
    <w:p w14:paraId="1B72A9ED" w14:textId="77777777" w:rsidR="00EE6B91" w:rsidRDefault="00EE6B91">
      <w:pPr>
        <w:spacing w:line="276" w:lineRule="auto"/>
        <w:ind w:firstLine="720"/>
      </w:pPr>
    </w:p>
    <w:p w14:paraId="7614DE7B" w14:textId="148A5F31" w:rsidR="0087164B" w:rsidRDefault="000D10DC">
      <w:pPr>
        <w:spacing w:line="276" w:lineRule="auto"/>
        <w:ind w:firstLine="720"/>
      </w:pPr>
      <w:r>
        <w:t>This sub-module is turned off by default and can be left off or turned off again by simply entering zeros and FALSE into all inputs.</w:t>
      </w:r>
    </w:p>
    <w:p w14:paraId="4C6E53EF" w14:textId="3BAC813D" w:rsidR="002D61F6" w:rsidRPr="0036083C" w:rsidRDefault="002D61F6" w:rsidP="00204C86">
      <w:pPr>
        <w:spacing w:line="276" w:lineRule="auto"/>
      </w:pPr>
    </w:p>
    <w:p w14:paraId="5E0D6FEE" w14:textId="77777777" w:rsidR="0036083C" w:rsidRDefault="0036083C">
      <w:pPr>
        <w:suppressAutoHyphens w:val="0"/>
      </w:pPr>
      <w:r>
        <w:br w:type="page"/>
      </w:r>
    </w:p>
    <w:p w14:paraId="15C2D1C8" w14:textId="7B0DDE13" w:rsidR="001E56D8" w:rsidRDefault="001E56D8">
      <w:pPr>
        <w:spacing w:line="276" w:lineRule="auto"/>
        <w:ind w:firstLine="720"/>
      </w:pPr>
      <w:r>
        <w:rPr>
          <w:u w:val="single"/>
        </w:rPr>
        <w:t>Targeting Program Cost:</w:t>
      </w:r>
    </w:p>
    <w:p w14:paraId="6DF69AC7" w14:textId="77777777" w:rsidR="001E56D8" w:rsidRDefault="001E56D8">
      <w:pPr>
        <w:spacing w:line="276" w:lineRule="auto"/>
        <w:ind w:firstLine="720"/>
      </w:pPr>
      <w:r>
        <w:t>Cost of Targeting Program</w:t>
      </w:r>
    </w:p>
    <w:p w14:paraId="289CBC2E" w14:textId="77777777" w:rsidR="001E56D8" w:rsidRDefault="001E56D8">
      <w:pPr>
        <w:spacing w:line="276" w:lineRule="auto"/>
        <w:ind w:left="144" w:firstLine="720"/>
      </w:pPr>
      <w:r>
        <w:t>Units: $</w:t>
      </w:r>
    </w:p>
    <w:p w14:paraId="1FEBFC2A" w14:textId="77777777" w:rsidR="001E56D8" w:rsidRDefault="001E56D8">
      <w:pPr>
        <w:spacing w:line="276" w:lineRule="auto"/>
        <w:ind w:left="144" w:firstLine="720"/>
      </w:pPr>
      <w:r>
        <w:t xml:space="preserve">Description: </w:t>
      </w:r>
    </w:p>
    <w:p w14:paraId="3B35ADBA" w14:textId="77777777" w:rsidR="001E56D8" w:rsidRDefault="001E56D8">
      <w:pPr>
        <w:spacing w:line="276" w:lineRule="auto"/>
        <w:ind w:left="720" w:firstLine="720"/>
      </w:pPr>
      <w:r>
        <w:t xml:space="preserve">This input is asking for the total cost of the targeting program. </w:t>
      </w:r>
    </w:p>
    <w:p w14:paraId="15568394" w14:textId="77777777" w:rsidR="001E56D8" w:rsidRDefault="001E56D8">
      <w:pPr>
        <w:spacing w:line="276" w:lineRule="auto"/>
      </w:pPr>
    </w:p>
    <w:p w14:paraId="3302716D" w14:textId="77777777" w:rsidR="001E56D8" w:rsidRDefault="001E56D8">
      <w:pPr>
        <w:spacing w:line="276" w:lineRule="auto"/>
        <w:ind w:firstLine="720"/>
      </w:pPr>
      <w:r>
        <w:t>Program cost recovery allowed?</w:t>
      </w:r>
    </w:p>
    <w:p w14:paraId="7FC61FF6" w14:textId="77777777" w:rsidR="001E56D8" w:rsidRDefault="001E56D8">
      <w:pPr>
        <w:spacing w:line="276" w:lineRule="auto"/>
        <w:ind w:left="144" w:firstLine="720"/>
      </w:pPr>
      <w:r>
        <w:t xml:space="preserve">Units: </w:t>
      </w:r>
      <w:proofErr w:type="gramStart"/>
      <w:r>
        <w:t>boolean</w:t>
      </w:r>
      <w:proofErr w:type="gramEnd"/>
      <w:r>
        <w:t xml:space="preserve"> (TRUE/FALSE)</w:t>
      </w:r>
    </w:p>
    <w:p w14:paraId="6EC51780" w14:textId="77777777" w:rsidR="001E56D8" w:rsidRDefault="001E56D8">
      <w:pPr>
        <w:spacing w:line="276" w:lineRule="auto"/>
        <w:ind w:left="144" w:firstLine="720"/>
      </w:pPr>
      <w:r>
        <w:t xml:space="preserve">Description: </w:t>
      </w:r>
    </w:p>
    <w:p w14:paraId="1A238283" w14:textId="77777777" w:rsidR="001E56D8" w:rsidRDefault="001E56D8">
      <w:pPr>
        <w:spacing w:line="276" w:lineRule="auto"/>
        <w:ind w:left="1440"/>
      </w:pPr>
      <w:r>
        <w:t>This input is asking if the utility is allowed to recover the cost of the targeting program from customers.</w:t>
      </w:r>
    </w:p>
    <w:p w14:paraId="7F4CB991" w14:textId="77777777" w:rsidR="00DE2B2C" w:rsidRDefault="00DE2B2C">
      <w:pPr>
        <w:spacing w:line="276" w:lineRule="auto"/>
        <w:ind w:firstLine="720"/>
      </w:pPr>
    </w:p>
    <w:p w14:paraId="3D77E28B" w14:textId="77777777" w:rsidR="001E56D8" w:rsidRDefault="001E56D8">
      <w:pPr>
        <w:spacing w:line="276" w:lineRule="auto"/>
        <w:ind w:firstLine="720"/>
      </w:pPr>
      <w:r>
        <w:t>Average Change in Cost</w:t>
      </w:r>
    </w:p>
    <w:p w14:paraId="3B3AB381" w14:textId="77777777" w:rsidR="001E56D8" w:rsidRDefault="001E56D8">
      <w:pPr>
        <w:spacing w:line="276" w:lineRule="auto"/>
        <w:ind w:left="144" w:firstLine="720"/>
      </w:pPr>
      <w:r>
        <w:t>Units: %/year</w:t>
      </w:r>
    </w:p>
    <w:p w14:paraId="560540DE" w14:textId="77777777" w:rsidR="001E56D8" w:rsidRDefault="001E56D8">
      <w:pPr>
        <w:spacing w:line="276" w:lineRule="auto"/>
        <w:ind w:left="144" w:firstLine="720"/>
      </w:pPr>
      <w:r>
        <w:t xml:space="preserve">Description: </w:t>
      </w:r>
    </w:p>
    <w:p w14:paraId="229658CC" w14:textId="77777777" w:rsidR="001E56D8" w:rsidRDefault="001E56D8" w:rsidP="00DE2B2C">
      <w:pPr>
        <w:spacing w:line="276" w:lineRule="auto"/>
        <w:ind w:left="1440"/>
      </w:pPr>
      <w:r>
        <w:t xml:space="preserve">This input is asking for </w:t>
      </w:r>
      <w:r w:rsidR="00A13E1C">
        <w:t>the year-to-year percent</w:t>
      </w:r>
      <w:r>
        <w:t xml:space="preserve"> change in the cost of the targeting program</w:t>
      </w:r>
      <w:r w:rsidR="00A13E1C">
        <w:t>, averaged over the lifetime of the program</w:t>
      </w:r>
      <w:r>
        <w:t>.</w:t>
      </w:r>
    </w:p>
    <w:p w14:paraId="7CD93CE8" w14:textId="77777777" w:rsidR="001E56D8" w:rsidRDefault="001E56D8">
      <w:pPr>
        <w:spacing w:line="276" w:lineRule="auto"/>
        <w:ind w:firstLine="720"/>
      </w:pPr>
    </w:p>
    <w:p w14:paraId="35029654" w14:textId="77777777" w:rsidR="001E56D8" w:rsidRDefault="001E56D8">
      <w:pPr>
        <w:spacing w:line="276" w:lineRule="auto"/>
        <w:ind w:firstLine="720"/>
      </w:pPr>
      <w:r>
        <w:rPr>
          <w:u w:val="single"/>
        </w:rPr>
        <w:t>Energy Savings Change:</w:t>
      </w:r>
    </w:p>
    <w:p w14:paraId="3F4DECB5" w14:textId="77777777" w:rsidR="001E56D8" w:rsidRDefault="001E56D8">
      <w:pPr>
        <w:spacing w:line="276" w:lineRule="auto"/>
        <w:ind w:firstLine="720"/>
      </w:pPr>
      <w:r>
        <w:t>Savings Change from Targeting</w:t>
      </w:r>
    </w:p>
    <w:p w14:paraId="2B7EAD94" w14:textId="77777777" w:rsidR="001E56D8" w:rsidRDefault="001E56D8">
      <w:pPr>
        <w:spacing w:line="276" w:lineRule="auto"/>
        <w:ind w:left="144" w:firstLine="720"/>
      </w:pPr>
      <w:r>
        <w:t>Units: %</w:t>
      </w:r>
    </w:p>
    <w:p w14:paraId="35D5C7BB" w14:textId="77777777" w:rsidR="001E56D8" w:rsidRDefault="001E56D8">
      <w:pPr>
        <w:spacing w:line="276" w:lineRule="auto"/>
        <w:ind w:left="144" w:firstLine="720"/>
      </w:pPr>
      <w:r>
        <w:t xml:space="preserve">Description: </w:t>
      </w:r>
    </w:p>
    <w:p w14:paraId="18E801E0" w14:textId="381615CF" w:rsidR="001E56D8" w:rsidRDefault="001E56D8" w:rsidP="00EE6B91">
      <w:pPr>
        <w:spacing w:line="276" w:lineRule="auto"/>
        <w:ind w:left="1440"/>
        <w:rPr>
          <w:rFonts w:ascii="Calibri" w:hAnsi="Calibri" w:cs="Calibri"/>
          <w:b/>
          <w:bCs/>
          <w:iCs/>
          <w:color w:val="4F81BD"/>
        </w:rPr>
      </w:pPr>
      <w:r>
        <w:t>This input is asking for percent change in the savings achieved based on the new targeting program</w:t>
      </w:r>
      <w:r w:rsidR="00A13E1C">
        <w:t>, averaged over the lifetime of the program</w:t>
      </w:r>
      <w:r>
        <w:t>.</w:t>
      </w:r>
      <w:r w:rsidR="00EE6B91" w:rsidRPr="00EE6B91">
        <w:rPr>
          <w:rFonts w:ascii="Calibri" w:hAnsi="Calibri" w:cs="Calibri"/>
          <w:b/>
          <w:bCs/>
          <w:iCs/>
          <w:color w:val="4F81BD"/>
        </w:rPr>
        <w:t xml:space="preserve"> </w:t>
      </w:r>
    </w:p>
    <w:p w14:paraId="179CB350" w14:textId="77777777" w:rsidR="001E56D8" w:rsidRDefault="001E56D8">
      <w:pPr>
        <w:pStyle w:val="Heading3"/>
        <w:pageBreakBefore/>
        <w:spacing w:line="276" w:lineRule="auto"/>
      </w:pPr>
      <w:bookmarkStart w:id="23" w:name="_Toc376263700"/>
      <w:bookmarkStart w:id="24" w:name="_Toc376263764"/>
      <w:bookmarkStart w:id="25" w:name="_Toc278464900"/>
      <w:r>
        <w:t>Bill Impact Module</w:t>
      </w:r>
      <w:bookmarkEnd w:id="23"/>
      <w:bookmarkEnd w:id="24"/>
      <w:bookmarkEnd w:id="25"/>
    </w:p>
    <w:p w14:paraId="7197BBBB" w14:textId="3CAE917C" w:rsidR="001E56D8" w:rsidRDefault="001E56D8">
      <w:pPr>
        <w:spacing w:line="276" w:lineRule="auto"/>
        <w:ind w:firstLine="720"/>
      </w:pPr>
      <w:r>
        <w:t xml:space="preserve">The Bill Impact Module contains </w:t>
      </w:r>
      <w:r w:rsidR="00680165">
        <w:t xml:space="preserve">three </w:t>
      </w:r>
      <w:r>
        <w:t xml:space="preserve">sub-modules: the </w:t>
      </w:r>
      <w:r w:rsidR="00680165">
        <w:t>F</w:t>
      </w:r>
      <w:r>
        <w:t>undamental</w:t>
      </w:r>
      <w:r w:rsidR="00680165">
        <w:t>,</w:t>
      </w:r>
      <w:r>
        <w:t xml:space="preserve"> </w:t>
      </w:r>
      <w:r w:rsidR="00680165">
        <w:t>P</w:t>
      </w:r>
      <w:r>
        <w:t>articipation</w:t>
      </w:r>
      <w:r w:rsidR="00680165">
        <w:t>, and the Difference in Participant Average Use</w:t>
      </w:r>
      <w:r>
        <w:t xml:space="preserve"> sub-modules.  The calculations of </w:t>
      </w:r>
      <w:r w:rsidR="00680165">
        <w:t>B</w:t>
      </w:r>
      <w:r>
        <w:t xml:space="preserve">ill </w:t>
      </w:r>
      <w:r w:rsidR="00680165">
        <w:t>I</w:t>
      </w:r>
      <w:r>
        <w:t xml:space="preserve">mpact rely on the </w:t>
      </w:r>
      <w:r w:rsidR="00680165">
        <w:t>R</w:t>
      </w:r>
      <w:r>
        <w:t xml:space="preserve">ate </w:t>
      </w:r>
      <w:r w:rsidR="00680165">
        <w:t>I</w:t>
      </w:r>
      <w:r>
        <w:t xml:space="preserve">mpacts module so the </w:t>
      </w:r>
      <w:r w:rsidR="00680165">
        <w:t>F</w:t>
      </w:r>
      <w:r>
        <w:t xml:space="preserve">undamental sub-module for the </w:t>
      </w:r>
      <w:r w:rsidR="00680165">
        <w:t>R</w:t>
      </w:r>
      <w:r>
        <w:t xml:space="preserve">ate </w:t>
      </w:r>
      <w:r w:rsidR="00680165">
        <w:t>I</w:t>
      </w:r>
      <w:r>
        <w:t xml:space="preserve">mpact module should be completed before starting on the </w:t>
      </w:r>
      <w:r w:rsidR="00680165">
        <w:t>B</w:t>
      </w:r>
      <w:r>
        <w:t xml:space="preserve">ill </w:t>
      </w:r>
      <w:r w:rsidR="00680165">
        <w:t>I</w:t>
      </w:r>
      <w:r>
        <w:t>mpact module.</w:t>
      </w:r>
    </w:p>
    <w:p w14:paraId="6509F38F" w14:textId="77777777" w:rsidR="001E56D8" w:rsidRDefault="001E56D8">
      <w:pPr>
        <w:spacing w:line="276" w:lineRule="auto"/>
        <w:ind w:firstLine="720"/>
      </w:pPr>
    </w:p>
    <w:p w14:paraId="49D1B441" w14:textId="77777777" w:rsidR="001E56D8" w:rsidRDefault="001E56D8">
      <w:pPr>
        <w:pStyle w:val="Heading4"/>
        <w:spacing w:line="276" w:lineRule="auto"/>
      </w:pPr>
      <w:r>
        <w:t>Fundamental Sub-Module</w:t>
      </w:r>
    </w:p>
    <w:p w14:paraId="0CFCEC65" w14:textId="71CACE36" w:rsidR="001E56D8" w:rsidRDefault="001E56D8">
      <w:pPr>
        <w:spacing w:line="276" w:lineRule="auto"/>
        <w:ind w:firstLine="720"/>
      </w:pPr>
      <w:r>
        <w:t>The Fundamental Sub-Module is the core of the bill module and contains the following inputs:</w:t>
      </w:r>
    </w:p>
    <w:p w14:paraId="687829ED" w14:textId="77777777" w:rsidR="00AD5302" w:rsidRDefault="00AD5302">
      <w:pPr>
        <w:spacing w:line="276" w:lineRule="auto"/>
        <w:ind w:firstLine="720"/>
      </w:pPr>
    </w:p>
    <w:p w14:paraId="185D7AEE" w14:textId="0C55DBD7" w:rsidR="001E56D8" w:rsidRDefault="00AD5302" w:rsidP="00AD5302">
      <w:pPr>
        <w:spacing w:line="276" w:lineRule="auto"/>
        <w:jc w:val="center"/>
      </w:pPr>
      <w:r w:rsidRPr="00AD5302">
        <w:rPr>
          <w:noProof/>
          <w:lang w:eastAsia="en-US"/>
        </w:rPr>
        <w:drawing>
          <wp:inline distT="0" distB="0" distL="0" distR="0" wp14:anchorId="54DF8213" wp14:editId="08C3203F">
            <wp:extent cx="3695700" cy="1053911"/>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5700" cy="1053911"/>
                    </a:xfrm>
                    <a:prstGeom prst="rect">
                      <a:avLst/>
                    </a:prstGeom>
                    <a:solidFill>
                      <a:srgbClr val="FFFFFF"/>
                    </a:solidFill>
                    <a:ln>
                      <a:noFill/>
                    </a:ln>
                  </pic:spPr>
                </pic:pic>
              </a:graphicData>
            </a:graphic>
          </wp:inline>
        </w:drawing>
      </w:r>
    </w:p>
    <w:p w14:paraId="64ED5CC9" w14:textId="77777777" w:rsidR="00AD5302" w:rsidRDefault="00AD5302">
      <w:pPr>
        <w:spacing w:line="276" w:lineRule="auto"/>
        <w:ind w:firstLine="720"/>
        <w:rPr>
          <w:u w:val="single"/>
        </w:rPr>
      </w:pPr>
    </w:p>
    <w:p w14:paraId="5541CC1C" w14:textId="77777777" w:rsidR="001E56D8" w:rsidRDefault="001E56D8">
      <w:pPr>
        <w:spacing w:line="276" w:lineRule="auto"/>
        <w:ind w:firstLine="720"/>
      </w:pPr>
      <w:r>
        <w:rPr>
          <w:u w:val="single"/>
        </w:rPr>
        <w:t>Customers:</w:t>
      </w:r>
    </w:p>
    <w:p w14:paraId="58402B3B" w14:textId="77777777" w:rsidR="001E56D8" w:rsidRDefault="001E56D8">
      <w:pPr>
        <w:spacing w:line="276" w:lineRule="auto"/>
        <w:ind w:firstLine="720"/>
      </w:pPr>
      <w:r>
        <w:t>Customers in Y0</w:t>
      </w:r>
    </w:p>
    <w:p w14:paraId="30C76734" w14:textId="1010281A" w:rsidR="001E56D8" w:rsidRDefault="001E56D8">
      <w:pPr>
        <w:spacing w:line="276" w:lineRule="auto"/>
        <w:ind w:left="144" w:firstLine="720"/>
      </w:pPr>
      <w:r>
        <w:t xml:space="preserve">Units: </w:t>
      </w:r>
      <w:r w:rsidR="006F7AA6">
        <w:t>customer</w:t>
      </w:r>
      <w:r>
        <w:t>s</w:t>
      </w:r>
    </w:p>
    <w:p w14:paraId="6CCEF787" w14:textId="77777777" w:rsidR="001E56D8" w:rsidRDefault="001E56D8">
      <w:pPr>
        <w:spacing w:line="276" w:lineRule="auto"/>
        <w:ind w:left="144" w:firstLine="720"/>
      </w:pPr>
      <w:r>
        <w:t xml:space="preserve">Description: </w:t>
      </w:r>
    </w:p>
    <w:p w14:paraId="5AFAD460" w14:textId="77777777" w:rsidR="001E56D8" w:rsidRDefault="001E56D8">
      <w:pPr>
        <w:spacing w:line="276" w:lineRule="auto"/>
        <w:ind w:left="1440"/>
      </w:pPr>
      <w:r>
        <w:t xml:space="preserve">This input is asking for the number of customers in </w:t>
      </w:r>
      <w:r w:rsidR="00A13E1C">
        <w:t>the customer class</w:t>
      </w:r>
      <w:r>
        <w:t xml:space="preserve">. </w:t>
      </w:r>
      <w:r w:rsidR="00A13E1C">
        <w:t>The data does not have to be from the actual year zero but can instead be from the most recent</w:t>
      </w:r>
      <w:r w:rsidR="000E2CF4">
        <w:t xml:space="preserve"> </w:t>
      </w:r>
      <w:r w:rsidR="007E3B68">
        <w:t xml:space="preserve">year </w:t>
      </w:r>
      <w:r w:rsidR="000E2CF4">
        <w:t>for which data is available.</w:t>
      </w:r>
      <w:r w:rsidR="00A13E1C">
        <w:t xml:space="preserve"> </w:t>
      </w:r>
    </w:p>
    <w:p w14:paraId="63B25B16" w14:textId="77777777" w:rsidR="001E56D8" w:rsidRDefault="001E56D8">
      <w:pPr>
        <w:spacing w:line="276" w:lineRule="auto"/>
        <w:ind w:left="1425" w:hanging="555"/>
      </w:pPr>
      <w:r>
        <w:t xml:space="preserve">Source: </w:t>
      </w:r>
      <w:hyperlink r:id="rId46" w:history="1">
        <w:r>
          <w:rPr>
            <w:rStyle w:val="Hyperlink"/>
          </w:rPr>
          <w:t>SEC</w:t>
        </w:r>
      </w:hyperlink>
      <w:hyperlink r:id="rId47" w:history="1">
        <w:r>
          <w:rPr>
            <w:rStyle w:val="Hyperlink"/>
          </w:rPr>
          <w:t xml:space="preserve"> 10-K</w:t>
        </w:r>
      </w:hyperlink>
      <w:r>
        <w:t>, search for Results of Operations</w:t>
      </w:r>
    </w:p>
    <w:p w14:paraId="4C5D50A1" w14:textId="77777777" w:rsidR="001E56D8" w:rsidRDefault="001E56D8">
      <w:pPr>
        <w:spacing w:line="276" w:lineRule="auto"/>
      </w:pPr>
    </w:p>
    <w:p w14:paraId="32EB1112" w14:textId="77777777" w:rsidR="001E56D8" w:rsidRDefault="001E56D8">
      <w:pPr>
        <w:spacing w:line="276" w:lineRule="auto"/>
        <w:ind w:firstLine="720"/>
      </w:pPr>
      <w:r>
        <w:t xml:space="preserve">Average Change in </w:t>
      </w:r>
      <w:r w:rsidR="007E3B68">
        <w:t xml:space="preserve">Number of </w:t>
      </w:r>
      <w:r>
        <w:t>Customer</w:t>
      </w:r>
      <w:r w:rsidR="007E3B68">
        <w:t>s</w:t>
      </w:r>
      <w:r>
        <w:t xml:space="preserve"> </w:t>
      </w:r>
    </w:p>
    <w:p w14:paraId="7EFABE8B" w14:textId="77777777" w:rsidR="001E56D8" w:rsidRDefault="001E56D8">
      <w:pPr>
        <w:spacing w:line="276" w:lineRule="auto"/>
        <w:ind w:left="144" w:firstLine="720"/>
      </w:pPr>
      <w:r>
        <w:t>Units: %</w:t>
      </w:r>
    </w:p>
    <w:p w14:paraId="746CE6FC" w14:textId="77777777" w:rsidR="001E56D8" w:rsidRDefault="001E56D8">
      <w:pPr>
        <w:spacing w:line="276" w:lineRule="auto"/>
        <w:ind w:left="144" w:firstLine="720"/>
      </w:pPr>
      <w:r>
        <w:t xml:space="preserve">Description: </w:t>
      </w:r>
    </w:p>
    <w:p w14:paraId="10E64191" w14:textId="77777777" w:rsidR="001E56D8" w:rsidRDefault="001E56D8">
      <w:pPr>
        <w:spacing w:line="276" w:lineRule="auto"/>
        <w:ind w:left="1440"/>
      </w:pPr>
      <w:r>
        <w:t xml:space="preserve">This input is asking for the averaged </w:t>
      </w:r>
      <w:r w:rsidR="000E2CF4">
        <w:t xml:space="preserve">percent </w:t>
      </w:r>
      <w:r>
        <w:t>change in the number of customers</w:t>
      </w:r>
      <w:r w:rsidR="000E2CF4">
        <w:t xml:space="preserve"> from year-to-year that is projected for the following years</w:t>
      </w:r>
      <w:r>
        <w:t>.</w:t>
      </w:r>
      <w:r w:rsidR="000E2CF4">
        <w:t xml:space="preserve"> Either a historical average or a projection by the utility or user can be input.</w:t>
      </w:r>
    </w:p>
    <w:p w14:paraId="6C6E206E" w14:textId="77777777" w:rsidR="001E56D8" w:rsidRDefault="001E56D8">
      <w:pPr>
        <w:spacing w:line="276" w:lineRule="auto"/>
        <w:ind w:left="870"/>
      </w:pPr>
      <w:r>
        <w:t>Example Calculation:</w:t>
      </w:r>
    </w:p>
    <w:p w14:paraId="57DF041C" w14:textId="77777777" w:rsidR="006E7C7D" w:rsidRDefault="000E2CF4">
      <w:pPr>
        <w:spacing w:line="276" w:lineRule="auto"/>
        <w:ind w:left="1440"/>
      </w:pPr>
      <w:r>
        <w:t>Can be calculated by averaging</w:t>
      </w:r>
      <w:r w:rsidR="001E56D8">
        <w:t xml:space="preserve"> the year-to-year change across select years of customers</w:t>
      </w:r>
      <w:r>
        <w:t xml:space="preserve"> (</w:t>
      </w:r>
      <w:r w:rsidR="001E56D8">
        <w:t>3-5 years is the norm</w:t>
      </w:r>
      <w:r>
        <w:t>)</w:t>
      </w:r>
      <w:r w:rsidR="001E56D8">
        <w:t>.</w:t>
      </w:r>
    </w:p>
    <w:p w14:paraId="21AD9298" w14:textId="77777777" w:rsidR="001E56D8" w:rsidRDefault="006E7C7D" w:rsidP="00980699">
      <w:pPr>
        <w:spacing w:line="276" w:lineRule="auto"/>
        <w:ind w:firstLine="720"/>
      </w:pPr>
      <w:r>
        <w:t xml:space="preserve">Source: Possibly available in PSC filings or </w:t>
      </w:r>
      <w:hyperlink r:id="rId48" w:history="1">
        <w:r>
          <w:rPr>
            <w:rStyle w:val="Hyperlink"/>
          </w:rPr>
          <w:t>SEC</w:t>
        </w:r>
      </w:hyperlink>
      <w:hyperlink r:id="rId49" w:history="1">
        <w:r>
          <w:rPr>
            <w:rStyle w:val="Hyperlink"/>
          </w:rPr>
          <w:t xml:space="preserve"> 10-K</w:t>
        </w:r>
      </w:hyperlink>
      <w:r>
        <w:t>.</w:t>
      </w:r>
      <w:r w:rsidR="001E56D8">
        <w:t xml:space="preserve"> </w:t>
      </w:r>
    </w:p>
    <w:p w14:paraId="4403DB1D" w14:textId="77777777" w:rsidR="001E56D8" w:rsidRDefault="001E56D8">
      <w:pPr>
        <w:pStyle w:val="Heading4"/>
        <w:spacing w:line="276" w:lineRule="auto"/>
      </w:pPr>
      <w:r>
        <w:t>Participation Sub-Module</w:t>
      </w:r>
    </w:p>
    <w:p w14:paraId="62F9C5F1" w14:textId="75F73015" w:rsidR="001E56D8" w:rsidRDefault="001E56D8">
      <w:pPr>
        <w:spacing w:line="276" w:lineRule="auto"/>
        <w:ind w:firstLine="720"/>
      </w:pPr>
      <w:r>
        <w:t>The Participation sub-module analy</w:t>
      </w:r>
      <w:r w:rsidR="00C9622B">
        <w:t>zes</w:t>
      </w:r>
      <w:r>
        <w:t xml:space="preserve"> the difference in the impacts of the energy efficiency program on participants versus non-participants. </w:t>
      </w:r>
      <w:r w:rsidR="00E214BA">
        <w:t>This sub-module is needed to have any information such differences.</w:t>
      </w:r>
      <w:r w:rsidR="00680165">
        <w:t xml:space="preserve"> </w:t>
      </w:r>
      <w:r>
        <w:t>The inputs for this sub-module are as follows:</w:t>
      </w:r>
    </w:p>
    <w:p w14:paraId="5750807B" w14:textId="77777777" w:rsidR="00680165" w:rsidRDefault="00680165">
      <w:pPr>
        <w:spacing w:line="276" w:lineRule="auto"/>
        <w:ind w:firstLine="720"/>
      </w:pPr>
    </w:p>
    <w:p w14:paraId="232BA9A9" w14:textId="70034C84" w:rsidR="001E56D8" w:rsidRDefault="00CC59EB" w:rsidP="00E22B98">
      <w:pPr>
        <w:spacing w:line="276" w:lineRule="auto"/>
        <w:jc w:val="center"/>
      </w:pPr>
      <w:r>
        <w:rPr>
          <w:noProof/>
          <w:lang w:eastAsia="en-US"/>
        </w:rPr>
        <w:drawing>
          <wp:inline distT="0" distB="0" distL="0" distR="0" wp14:anchorId="610C3C4F" wp14:editId="77AAA405">
            <wp:extent cx="3695700" cy="923925"/>
            <wp:effectExtent l="0" t="0" r="12700" b="0"/>
            <wp:docPr id="43" name="Picture 43" descr="Macintosh HD:Users:Ben:Desktop:Screen Shot 2014-10-31 at 1.1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Desktop:Screen Shot 2014-10-31 at 1.14.30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5700" cy="923925"/>
                    </a:xfrm>
                    <a:prstGeom prst="rect">
                      <a:avLst/>
                    </a:prstGeom>
                    <a:noFill/>
                    <a:ln>
                      <a:noFill/>
                    </a:ln>
                  </pic:spPr>
                </pic:pic>
              </a:graphicData>
            </a:graphic>
          </wp:inline>
        </w:drawing>
      </w:r>
    </w:p>
    <w:p w14:paraId="5D187C94" w14:textId="77777777" w:rsidR="001E56D8" w:rsidRDefault="001E56D8">
      <w:pPr>
        <w:spacing w:line="276" w:lineRule="auto"/>
      </w:pPr>
    </w:p>
    <w:p w14:paraId="0F701ED9" w14:textId="77777777" w:rsidR="001E56D8" w:rsidRDefault="001E56D8">
      <w:pPr>
        <w:spacing w:line="276" w:lineRule="auto"/>
        <w:ind w:firstLine="720"/>
      </w:pPr>
      <w:r>
        <w:rPr>
          <w:u w:val="single"/>
        </w:rPr>
        <w:t>Participants:</w:t>
      </w:r>
    </w:p>
    <w:p w14:paraId="5B5C1F95" w14:textId="77777777" w:rsidR="001E56D8" w:rsidRDefault="001E56D8">
      <w:pPr>
        <w:spacing w:line="276" w:lineRule="auto"/>
        <w:ind w:firstLine="720"/>
      </w:pPr>
      <w:r>
        <w:t>Participants in Y1</w:t>
      </w:r>
    </w:p>
    <w:p w14:paraId="78346C2B" w14:textId="26FC892C" w:rsidR="001E56D8" w:rsidRDefault="001E56D8">
      <w:pPr>
        <w:spacing w:line="276" w:lineRule="auto"/>
        <w:ind w:left="144" w:firstLine="720"/>
      </w:pPr>
      <w:r>
        <w:t xml:space="preserve">Units: </w:t>
      </w:r>
      <w:r w:rsidR="006F7AA6">
        <w:t>customer</w:t>
      </w:r>
      <w:r>
        <w:t>s</w:t>
      </w:r>
    </w:p>
    <w:p w14:paraId="0E26B40C" w14:textId="77777777" w:rsidR="001E56D8" w:rsidRDefault="001E56D8">
      <w:pPr>
        <w:spacing w:line="276" w:lineRule="auto"/>
        <w:ind w:left="144" w:firstLine="720"/>
      </w:pPr>
      <w:r>
        <w:t xml:space="preserve">Description: </w:t>
      </w:r>
    </w:p>
    <w:p w14:paraId="7DD5DEBD" w14:textId="77777777" w:rsidR="006E7C7D" w:rsidRDefault="001E56D8">
      <w:pPr>
        <w:spacing w:line="276" w:lineRule="auto"/>
        <w:ind w:left="1440"/>
      </w:pPr>
      <w:r>
        <w:t xml:space="preserve">This input is asking for the total number of customers participating in the energy efficiency program in its first year. </w:t>
      </w:r>
    </w:p>
    <w:p w14:paraId="10CEE336" w14:textId="77777777" w:rsidR="001E56D8" w:rsidRDefault="001E56D8" w:rsidP="00980699">
      <w:pPr>
        <w:spacing w:line="276" w:lineRule="auto"/>
        <w:ind w:left="1440" w:firstLine="720"/>
      </w:pPr>
      <w:r>
        <w:t xml:space="preserve">Instead of entering </w:t>
      </w:r>
      <w:r w:rsidR="006E7C7D">
        <w:t>the number of participants in</w:t>
      </w:r>
      <w:r>
        <w:t xml:space="preserve"> year one and an average change</w:t>
      </w:r>
      <w:r w:rsidR="006E7C7D">
        <w:t xml:space="preserve"> in participation (see followi</w:t>
      </w:r>
      <w:r w:rsidR="00BC1BD8">
        <w:t>n</w:t>
      </w:r>
      <w:r w:rsidR="006E7C7D">
        <w:t>g input)</w:t>
      </w:r>
      <w:r>
        <w:t xml:space="preserve">, </w:t>
      </w:r>
      <w:r w:rsidR="003E638A">
        <w:t xml:space="preserve">the number of </w:t>
      </w:r>
      <w:r>
        <w:t>participan</w:t>
      </w:r>
      <w:r w:rsidR="003E638A">
        <w:t>ts</w:t>
      </w:r>
      <w:r>
        <w:t xml:space="preserve"> can be entered for each year of the program on the </w:t>
      </w:r>
      <w:r w:rsidR="006E7C7D">
        <w:t>C</w:t>
      </w:r>
      <w:r>
        <w:t xml:space="preserve">ustomer </w:t>
      </w:r>
      <w:r w:rsidR="006E7C7D">
        <w:t>C</w:t>
      </w:r>
      <w:r>
        <w:t xml:space="preserve">alculations sheet of the </w:t>
      </w:r>
      <w:r w:rsidR="006E7C7D">
        <w:t>tool</w:t>
      </w:r>
      <w:r w:rsidR="006E7C7D">
        <w:rPr>
          <w:rStyle w:val="FootnoteReference"/>
        </w:rPr>
        <w:footnoteReference w:id="31"/>
      </w:r>
      <w:r>
        <w:t>.</w:t>
      </w:r>
    </w:p>
    <w:p w14:paraId="6BEF4D7B" w14:textId="4127140F" w:rsidR="001E56D8" w:rsidRDefault="001E56D8">
      <w:pPr>
        <w:spacing w:line="276" w:lineRule="auto"/>
        <w:ind w:left="1440" w:hanging="555"/>
      </w:pPr>
      <w:r>
        <w:t>Source: IRP or DSM filings</w:t>
      </w:r>
    </w:p>
    <w:p w14:paraId="567C50BB" w14:textId="77777777" w:rsidR="001E56D8" w:rsidRDefault="001E56D8">
      <w:pPr>
        <w:spacing w:line="276" w:lineRule="auto"/>
      </w:pPr>
    </w:p>
    <w:p w14:paraId="7A32093F" w14:textId="77777777" w:rsidR="001E56D8" w:rsidRDefault="001E56D8">
      <w:pPr>
        <w:spacing w:line="276" w:lineRule="auto"/>
        <w:ind w:firstLine="720"/>
      </w:pPr>
      <w:r>
        <w:t>Average Change in Participation</w:t>
      </w:r>
    </w:p>
    <w:p w14:paraId="6C99A4A1" w14:textId="77777777" w:rsidR="001E56D8" w:rsidRDefault="001E56D8">
      <w:pPr>
        <w:spacing w:line="276" w:lineRule="auto"/>
        <w:ind w:left="144" w:firstLine="720"/>
      </w:pPr>
      <w:r>
        <w:t>Units: %</w:t>
      </w:r>
    </w:p>
    <w:p w14:paraId="5D4DA04F" w14:textId="77777777" w:rsidR="001E56D8" w:rsidRDefault="001E56D8">
      <w:pPr>
        <w:spacing w:line="276" w:lineRule="auto"/>
        <w:ind w:left="144" w:firstLine="720"/>
      </w:pPr>
      <w:r>
        <w:t xml:space="preserve">Description: </w:t>
      </w:r>
    </w:p>
    <w:p w14:paraId="060BDF3A" w14:textId="77777777" w:rsidR="001E56D8" w:rsidRDefault="001E56D8">
      <w:pPr>
        <w:spacing w:line="276" w:lineRule="auto"/>
        <w:ind w:left="1440"/>
      </w:pPr>
      <w:r>
        <w:t>This input is asking for the year-to-year percent change in the number of customers participating</w:t>
      </w:r>
      <w:r w:rsidR="00605DDA">
        <w:t xml:space="preserve"> in the program</w:t>
      </w:r>
      <w:r>
        <w:t>, averaged over the lifetime of the program.</w:t>
      </w:r>
    </w:p>
    <w:p w14:paraId="107F7676" w14:textId="77777777" w:rsidR="006E7C7D" w:rsidRDefault="006E7C7D" w:rsidP="00980699">
      <w:pPr>
        <w:spacing w:line="276" w:lineRule="auto"/>
        <w:ind w:left="1440" w:firstLine="720"/>
      </w:pPr>
      <w:r>
        <w:t xml:space="preserve">Instead of entering the number of participants in year one (see previous input) and an average change in participation, </w:t>
      </w:r>
      <w:r w:rsidR="003E638A">
        <w:t xml:space="preserve">the number of </w:t>
      </w:r>
      <w:r>
        <w:t>participan</w:t>
      </w:r>
      <w:r w:rsidR="003E638A">
        <w:t>ts</w:t>
      </w:r>
      <w:r>
        <w:t xml:space="preserve"> can be entered for each year of the program on the Customer Calculations sheet of the tool</w:t>
      </w:r>
      <w:r w:rsidRPr="00980699">
        <w:rPr>
          <w:vertAlign w:val="superscript"/>
        </w:rPr>
        <w:t>1</w:t>
      </w:r>
      <w:r w:rsidR="003E638A">
        <w:rPr>
          <w:vertAlign w:val="superscript"/>
        </w:rPr>
        <w:t>5</w:t>
      </w:r>
      <w:r>
        <w:t>.</w:t>
      </w:r>
    </w:p>
    <w:p w14:paraId="04F03DCD" w14:textId="77777777" w:rsidR="001E56D8" w:rsidRDefault="001E56D8">
      <w:pPr>
        <w:spacing w:line="276" w:lineRule="auto"/>
        <w:ind w:left="870"/>
      </w:pPr>
      <w:r>
        <w:t>Example Calculation:</w:t>
      </w:r>
    </w:p>
    <w:p w14:paraId="0F7F860A" w14:textId="77777777" w:rsidR="001E56D8" w:rsidRDefault="00605DDA">
      <w:pPr>
        <w:spacing w:line="276" w:lineRule="auto"/>
        <w:ind w:left="1440"/>
      </w:pPr>
      <w:r>
        <w:t>C</w:t>
      </w:r>
      <w:r w:rsidR="006E7C7D">
        <w:t>alculated by a</w:t>
      </w:r>
      <w:r w:rsidR="001E56D8">
        <w:t>verag</w:t>
      </w:r>
      <w:r w:rsidR="006E7C7D">
        <w:t>ing</w:t>
      </w:r>
      <w:r w:rsidR="001E56D8">
        <w:t xml:space="preserve"> the year-to-year change across all years of </w:t>
      </w:r>
      <w:r>
        <w:t>the program</w:t>
      </w:r>
      <w:r w:rsidR="001E56D8">
        <w:t>.</w:t>
      </w:r>
    </w:p>
    <w:p w14:paraId="6CCCD8A4" w14:textId="7555A59D" w:rsidR="006F7AA6" w:rsidRDefault="006F7AA6" w:rsidP="00E22B98">
      <w:pPr>
        <w:spacing w:line="276" w:lineRule="auto"/>
        <w:ind w:left="144" w:firstLine="720"/>
      </w:pPr>
      <w:r>
        <w:t>Source: IRP or DSM filings</w:t>
      </w:r>
    </w:p>
    <w:p w14:paraId="5988966C" w14:textId="77777777" w:rsidR="001E56D8" w:rsidRDefault="001E56D8">
      <w:pPr>
        <w:pStyle w:val="Heading4"/>
        <w:spacing w:line="276" w:lineRule="auto"/>
      </w:pPr>
      <w:r>
        <w:t>Difference in Participant Average Use Sub-Module</w:t>
      </w:r>
    </w:p>
    <w:p w14:paraId="67FFA3FE" w14:textId="6F358B2E" w:rsidR="001E56D8" w:rsidRDefault="001E56D8">
      <w:pPr>
        <w:spacing w:line="276" w:lineRule="auto"/>
        <w:ind w:firstLine="720"/>
      </w:pPr>
      <w:r>
        <w:t>The Difference in Participant Average Use sub-module is used to account for a difference between the average use for all customers</w:t>
      </w:r>
      <w:r w:rsidR="00FD7423">
        <w:t xml:space="preserve"> in the class</w:t>
      </w:r>
      <w:r>
        <w:t xml:space="preserve"> and the average use of those who participate in the energy efficiency program. This is to ensure that the impact on the non-participant usage and bills is accurately calculated.</w:t>
      </w:r>
      <w:r w:rsidR="00064E21">
        <w:t xml:space="preserve"> </w:t>
      </w:r>
      <w:r w:rsidR="0097755F">
        <w:t xml:space="preserve">This sub-module is discretionary and need not be used if the data is unavailable. To do so, simply enter zero for the input. </w:t>
      </w:r>
      <w:r w:rsidR="00064E21">
        <w:t>The inputs are as follows:</w:t>
      </w:r>
    </w:p>
    <w:p w14:paraId="2C2998C6" w14:textId="77777777" w:rsidR="005B3C51" w:rsidRDefault="005B3C51">
      <w:pPr>
        <w:spacing w:line="276" w:lineRule="auto"/>
        <w:ind w:firstLine="720"/>
      </w:pPr>
    </w:p>
    <w:p w14:paraId="554343A7" w14:textId="77777777" w:rsidR="001E56D8" w:rsidRDefault="00A76890" w:rsidP="00EE6B91">
      <w:pPr>
        <w:spacing w:line="276" w:lineRule="auto"/>
        <w:jc w:val="center"/>
      </w:pPr>
      <w:r>
        <w:rPr>
          <w:noProof/>
          <w:lang w:eastAsia="en-US"/>
        </w:rPr>
        <w:drawing>
          <wp:inline distT="0" distB="0" distL="0" distR="0" wp14:anchorId="52D6B347" wp14:editId="03279662">
            <wp:extent cx="3695700" cy="761122"/>
            <wp:effectExtent l="0" t="0" r="0" b="127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6152" cy="761215"/>
                    </a:xfrm>
                    <a:prstGeom prst="rect">
                      <a:avLst/>
                    </a:prstGeom>
                    <a:solidFill>
                      <a:srgbClr val="FFFFFF"/>
                    </a:solidFill>
                    <a:ln>
                      <a:noFill/>
                    </a:ln>
                  </pic:spPr>
                </pic:pic>
              </a:graphicData>
            </a:graphic>
          </wp:inline>
        </w:drawing>
      </w:r>
    </w:p>
    <w:p w14:paraId="00FB8ADD" w14:textId="77777777" w:rsidR="005B3C51" w:rsidRPr="005B3C51" w:rsidRDefault="005B3C51">
      <w:pPr>
        <w:spacing w:line="276" w:lineRule="auto"/>
        <w:ind w:firstLine="720"/>
      </w:pPr>
    </w:p>
    <w:p w14:paraId="10874B97" w14:textId="77777777" w:rsidR="001E56D8" w:rsidRDefault="001E56D8">
      <w:pPr>
        <w:spacing w:line="276" w:lineRule="auto"/>
        <w:ind w:firstLine="720"/>
      </w:pPr>
      <w:r>
        <w:rPr>
          <w:u w:val="single"/>
        </w:rPr>
        <w:t>Participant Use:</w:t>
      </w:r>
    </w:p>
    <w:p w14:paraId="316BA53E" w14:textId="77777777" w:rsidR="001E56D8" w:rsidRDefault="001E56D8">
      <w:pPr>
        <w:spacing w:line="276" w:lineRule="auto"/>
        <w:ind w:firstLine="720"/>
      </w:pPr>
      <w:r>
        <w:t>Difference in Participant Average Use</w:t>
      </w:r>
    </w:p>
    <w:p w14:paraId="09AEF6A5" w14:textId="77777777" w:rsidR="001E56D8" w:rsidRDefault="001E56D8">
      <w:pPr>
        <w:spacing w:line="276" w:lineRule="auto"/>
        <w:ind w:left="144" w:firstLine="720"/>
      </w:pPr>
      <w:r>
        <w:t>Units: kWh</w:t>
      </w:r>
    </w:p>
    <w:p w14:paraId="1838D77C" w14:textId="77777777" w:rsidR="001E56D8" w:rsidRDefault="001E56D8">
      <w:pPr>
        <w:spacing w:line="276" w:lineRule="auto"/>
        <w:ind w:left="144" w:firstLine="720"/>
      </w:pPr>
      <w:r>
        <w:t xml:space="preserve">Description: </w:t>
      </w:r>
    </w:p>
    <w:p w14:paraId="57AF64B8" w14:textId="77777777" w:rsidR="001E56D8" w:rsidRDefault="001E56D8">
      <w:pPr>
        <w:spacing w:line="276" w:lineRule="auto"/>
        <w:ind w:left="1440"/>
      </w:pPr>
      <w:r>
        <w:t>This input is asking for the difference between the average energy</w:t>
      </w:r>
      <w:r w:rsidR="001E203D">
        <w:t xml:space="preserve"> used</w:t>
      </w:r>
      <w:r>
        <w:t xml:space="preserve"> </w:t>
      </w:r>
      <w:r w:rsidR="00013ED5">
        <w:t xml:space="preserve">by participating </w:t>
      </w:r>
      <w:r>
        <w:t>customer</w:t>
      </w:r>
      <w:r w:rsidR="00013ED5">
        <w:t xml:space="preserve">s </w:t>
      </w:r>
      <w:r>
        <w:t>and the average energy</w:t>
      </w:r>
      <w:r w:rsidR="001E203D">
        <w:t xml:space="preserve"> used</w:t>
      </w:r>
      <w:r>
        <w:t xml:space="preserve"> </w:t>
      </w:r>
      <w:r w:rsidR="00013ED5">
        <w:t xml:space="preserve">by all </w:t>
      </w:r>
      <w:r>
        <w:t>customer</w:t>
      </w:r>
      <w:r w:rsidR="00013ED5">
        <w:t>s</w:t>
      </w:r>
      <w:r>
        <w:t>. If this value is zero, this serves to turn off the sub-module.</w:t>
      </w:r>
    </w:p>
    <w:p w14:paraId="205FA070" w14:textId="3CE81084" w:rsidR="00680165" w:rsidRDefault="00680165" w:rsidP="00E22B98">
      <w:pPr>
        <w:spacing w:line="276" w:lineRule="auto"/>
        <w:ind w:left="720" w:firstLine="180"/>
      </w:pPr>
      <w:r>
        <w:t>Example Calculation:</w:t>
      </w:r>
    </w:p>
    <w:p w14:paraId="0F9AB395" w14:textId="74295D64" w:rsidR="00680165" w:rsidRDefault="0097755F">
      <w:pPr>
        <w:spacing w:line="276" w:lineRule="auto"/>
        <w:ind w:left="1440"/>
      </w:pPr>
      <w:r>
        <w:t>Can be calculated by subtracting the value of all sales divided by the number of customers from the average use of program participants.</w:t>
      </w:r>
    </w:p>
    <w:p w14:paraId="7EB7DB47" w14:textId="71F0C4EE" w:rsidR="001E56D8" w:rsidRDefault="00680165" w:rsidP="00E22B98">
      <w:pPr>
        <w:spacing w:line="276" w:lineRule="auto"/>
        <w:ind w:firstLine="900"/>
      </w:pPr>
      <w:r>
        <w:t xml:space="preserve">Source: </w:t>
      </w:r>
      <w:r w:rsidR="0097755F">
        <w:t>Most likely available in an EM&amp;V study.</w:t>
      </w:r>
    </w:p>
    <w:p w14:paraId="6378FFBF" w14:textId="77777777" w:rsidR="00680165" w:rsidRDefault="00680165">
      <w:pPr>
        <w:spacing w:line="276" w:lineRule="auto"/>
      </w:pPr>
    </w:p>
    <w:p w14:paraId="6E643D55" w14:textId="77777777" w:rsidR="001E56D8" w:rsidRDefault="001E56D8">
      <w:pPr>
        <w:spacing w:line="276" w:lineRule="auto"/>
        <w:rPr>
          <w:rFonts w:ascii="Calibri" w:hAnsi="Calibri" w:cs="Calibri"/>
          <w:b/>
          <w:bCs/>
          <w:color w:val="4F81BD"/>
        </w:rPr>
      </w:pPr>
    </w:p>
    <w:p w14:paraId="1691E08A" w14:textId="77777777" w:rsidR="00BC7979" w:rsidRDefault="00BC7979" w:rsidP="00BC7979">
      <w:pPr>
        <w:pStyle w:val="Heading2"/>
        <w:pageBreakBefore/>
      </w:pPr>
      <w:bookmarkStart w:id="26" w:name="_Toc278464901"/>
      <w:bookmarkStart w:id="27" w:name="_Toc376263954"/>
      <w:bookmarkStart w:id="28" w:name="_Toc376263701"/>
      <w:bookmarkStart w:id="29" w:name="_Toc376263765"/>
      <w:r>
        <w:t>Utility Sector</w:t>
      </w:r>
      <w:bookmarkEnd w:id="26"/>
    </w:p>
    <w:p w14:paraId="755FCEF1" w14:textId="77777777" w:rsidR="00BC7979" w:rsidRDefault="00BC7979" w:rsidP="00BC7979">
      <w:pPr>
        <w:spacing w:line="276" w:lineRule="auto"/>
        <w:ind w:firstLine="576"/>
      </w:pPr>
      <w:r>
        <w:t xml:space="preserve">The Utility Sector contains four modules: the Fundamental Module, the Performance Incentive Module, the Deferred Capital Investment Module and the Rate Case Module. </w:t>
      </w:r>
    </w:p>
    <w:p w14:paraId="28492494" w14:textId="77777777" w:rsidR="00107D6B" w:rsidRDefault="00107D6B" w:rsidP="00107D6B">
      <w:pPr>
        <w:spacing w:line="276" w:lineRule="auto"/>
      </w:pPr>
    </w:p>
    <w:p w14:paraId="190D1B4F" w14:textId="776D656F" w:rsidR="00107D6B" w:rsidRDefault="002C60BB" w:rsidP="00107D6B">
      <w:pPr>
        <w:pStyle w:val="Heading3"/>
      </w:pPr>
      <w:bookmarkStart w:id="30" w:name="_Toc278464902"/>
      <w:r>
        <w:t>Fundamental Module</w:t>
      </w:r>
      <w:bookmarkEnd w:id="30"/>
    </w:p>
    <w:p w14:paraId="7792F852" w14:textId="3FBF7440" w:rsidR="00BC7979" w:rsidRPr="00BC5E0F" w:rsidRDefault="002C60BB" w:rsidP="00CB5D19">
      <w:pPr>
        <w:spacing w:line="276" w:lineRule="auto"/>
        <w:ind w:firstLine="720"/>
      </w:pPr>
      <w:r>
        <w:t xml:space="preserve">The Fundamental Sub-Module is the core of the Utility Sector and contains the following inputs used in both the Customer and Utility Sector </w:t>
      </w:r>
      <w:r w:rsidR="00CB5D19">
        <w:t>to characterize the electric utility deploying the DSM program</w:t>
      </w:r>
      <w:r>
        <w:t>:</w:t>
      </w:r>
    </w:p>
    <w:p w14:paraId="5C4D5CE5" w14:textId="77777777" w:rsidR="00BC7979" w:rsidRDefault="00BC7979" w:rsidP="00BC7979">
      <w:pPr>
        <w:spacing w:line="276" w:lineRule="auto"/>
      </w:pPr>
    </w:p>
    <w:p w14:paraId="01AA2CB4" w14:textId="199E0B54" w:rsidR="00EE6B91" w:rsidRDefault="00EE6B91" w:rsidP="00EE6B91">
      <w:pPr>
        <w:spacing w:line="276" w:lineRule="auto"/>
        <w:jc w:val="center"/>
      </w:pPr>
      <w:r>
        <w:rPr>
          <w:noProof/>
          <w:lang w:eastAsia="en-US"/>
        </w:rPr>
        <w:drawing>
          <wp:inline distT="0" distB="0" distL="0" distR="0" wp14:anchorId="22EA2ACC" wp14:editId="009BE66D">
            <wp:extent cx="3695700" cy="3874938"/>
            <wp:effectExtent l="0" t="0" r="0" b="11430"/>
            <wp:docPr id="44" name="Picture 44" descr="Macintosh HD:Users:Ben:Desktop:Screen Shot 2014-10-31 at 1.1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Desktop:Screen Shot 2014-10-31 at 1.15.49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820" cy="3875064"/>
                    </a:xfrm>
                    <a:prstGeom prst="rect">
                      <a:avLst/>
                    </a:prstGeom>
                    <a:noFill/>
                    <a:ln>
                      <a:noFill/>
                    </a:ln>
                  </pic:spPr>
                </pic:pic>
              </a:graphicData>
            </a:graphic>
          </wp:inline>
        </w:drawing>
      </w:r>
    </w:p>
    <w:p w14:paraId="6EC06140" w14:textId="77777777" w:rsidR="00AD5302" w:rsidRDefault="00AD5302">
      <w:pPr>
        <w:suppressAutoHyphens w:val="0"/>
      </w:pPr>
      <w:r>
        <w:br w:type="page"/>
      </w:r>
    </w:p>
    <w:p w14:paraId="12B5D448" w14:textId="09607714" w:rsidR="00AD5302" w:rsidRPr="00AD5302" w:rsidRDefault="00AD5302" w:rsidP="00BC7979">
      <w:pPr>
        <w:spacing w:line="276" w:lineRule="auto"/>
        <w:ind w:firstLine="720"/>
        <w:rPr>
          <w:u w:val="single"/>
        </w:rPr>
      </w:pPr>
      <w:r w:rsidRPr="00AD5302">
        <w:rPr>
          <w:u w:val="single"/>
        </w:rPr>
        <w:t>Rate Base:</w:t>
      </w:r>
    </w:p>
    <w:p w14:paraId="60C399CE" w14:textId="77E38709" w:rsidR="00BC7979" w:rsidRDefault="00BC7979" w:rsidP="00BC7979">
      <w:pPr>
        <w:spacing w:line="276" w:lineRule="auto"/>
        <w:ind w:firstLine="720"/>
      </w:pPr>
      <w:r>
        <w:t>Rate Base in Y0</w:t>
      </w:r>
      <w:r w:rsidR="007D0E59">
        <w:t xml:space="preserve">  </w:t>
      </w:r>
    </w:p>
    <w:p w14:paraId="4AF05578" w14:textId="77777777" w:rsidR="00BC7979" w:rsidRDefault="00BC7979" w:rsidP="00BC7979">
      <w:pPr>
        <w:spacing w:line="276" w:lineRule="auto"/>
        <w:ind w:left="144" w:firstLine="720"/>
      </w:pPr>
      <w:r>
        <w:t>Units: $ (million)</w:t>
      </w:r>
    </w:p>
    <w:p w14:paraId="010BAA13" w14:textId="77777777" w:rsidR="00BC7979" w:rsidRDefault="00BC7979" w:rsidP="00BC7979">
      <w:pPr>
        <w:spacing w:line="276" w:lineRule="auto"/>
        <w:ind w:left="144" w:firstLine="720"/>
      </w:pPr>
      <w:r>
        <w:t xml:space="preserve">Description: </w:t>
      </w:r>
    </w:p>
    <w:p w14:paraId="37884756" w14:textId="76EB49DE" w:rsidR="00BC7979" w:rsidRDefault="00BC7979" w:rsidP="00BC7979">
      <w:pPr>
        <w:spacing w:line="276" w:lineRule="auto"/>
        <w:ind w:left="1440"/>
      </w:pPr>
      <w:r>
        <w:t xml:space="preserve">This input is asking for the total dollar value in year zero of the assets on which the public service commission allows the utility firm to collect revenues and recover costs. The data does not have to be from the actual year zero but can instead be from the most recent year for which data is available. Entered in millions of dollars. </w:t>
      </w:r>
      <w:r w:rsidR="00445FBA">
        <w:t>Where the direct value is unavailable, plant-in-service net of depreciation can be used as a proxy, which can usually be found in the SEC 10-K</w:t>
      </w:r>
    </w:p>
    <w:p w14:paraId="02257D12" w14:textId="70AA2B0E" w:rsidR="00BC7979" w:rsidRDefault="00BC7979" w:rsidP="00BC7979">
      <w:pPr>
        <w:spacing w:line="276" w:lineRule="auto"/>
        <w:ind w:left="1440" w:hanging="585"/>
      </w:pPr>
      <w:r>
        <w:t>Source: PSC filings</w:t>
      </w:r>
      <w:r w:rsidR="004938FB">
        <w:t>;</w:t>
      </w:r>
      <w:r w:rsidR="00617087">
        <w:t xml:space="preserve"> </w:t>
      </w:r>
      <w:hyperlink r:id="rId53" w:history="1">
        <w:r w:rsidR="00E0055D">
          <w:rPr>
            <w:rStyle w:val="Hyperlink"/>
          </w:rPr>
          <w:t>SEC</w:t>
        </w:r>
      </w:hyperlink>
      <w:hyperlink r:id="rId54" w:history="1">
        <w:r w:rsidR="00E0055D">
          <w:rPr>
            <w:rStyle w:val="Hyperlink"/>
          </w:rPr>
          <w:t xml:space="preserve"> 10-K</w:t>
        </w:r>
      </w:hyperlink>
    </w:p>
    <w:p w14:paraId="733BDDC6" w14:textId="77777777" w:rsidR="00BC7979" w:rsidRDefault="00BC7979" w:rsidP="00BC7979">
      <w:pPr>
        <w:spacing w:line="276" w:lineRule="auto"/>
      </w:pPr>
    </w:p>
    <w:p w14:paraId="5BCB9E7A" w14:textId="77777777" w:rsidR="00BC7979" w:rsidRDefault="00BC7979" w:rsidP="00BC7979">
      <w:pPr>
        <w:spacing w:line="276" w:lineRule="auto"/>
        <w:ind w:firstLine="720"/>
      </w:pPr>
      <w:r>
        <w:t>Annual Capital Expenditures in Y0</w:t>
      </w:r>
    </w:p>
    <w:p w14:paraId="2D8B96EC" w14:textId="77777777" w:rsidR="00BC7979" w:rsidRDefault="00BC7979" w:rsidP="00BC7979">
      <w:pPr>
        <w:spacing w:line="276" w:lineRule="auto"/>
        <w:ind w:left="144" w:firstLine="720"/>
      </w:pPr>
      <w:r>
        <w:t>Units: $ (million)</w:t>
      </w:r>
    </w:p>
    <w:p w14:paraId="5F29A516" w14:textId="77777777" w:rsidR="00BC7979" w:rsidRDefault="00BC7979" w:rsidP="00BC7979">
      <w:pPr>
        <w:spacing w:line="276" w:lineRule="auto"/>
        <w:ind w:left="144" w:firstLine="720"/>
      </w:pPr>
      <w:r>
        <w:t xml:space="preserve">Description: </w:t>
      </w:r>
    </w:p>
    <w:p w14:paraId="5BAF3686" w14:textId="5DC0A7FC" w:rsidR="00BC7979" w:rsidRDefault="00BC7979" w:rsidP="00BC7979">
      <w:pPr>
        <w:spacing w:line="276" w:lineRule="auto"/>
        <w:ind w:left="1440"/>
      </w:pPr>
      <w:r>
        <w:t>This input is asking for the total amount that the utility firm spends upon maintaining its infrastructure in year zero. This does not include new plant construction</w:t>
      </w:r>
      <w:r w:rsidR="00445FBA">
        <w:t xml:space="preserve">. </w:t>
      </w:r>
      <w:r>
        <w:t>The data does not have to be from the actual year zero but can instead be from the most recent year for which data is available.</w:t>
      </w:r>
    </w:p>
    <w:p w14:paraId="6BCBA458" w14:textId="01A37AC6" w:rsidR="00BC7979" w:rsidRDefault="00BC7979" w:rsidP="00BC7979">
      <w:pPr>
        <w:spacing w:line="276" w:lineRule="auto"/>
        <w:ind w:left="1440" w:hanging="540"/>
      </w:pPr>
      <w:r>
        <w:t xml:space="preserve">Source: </w:t>
      </w:r>
      <w:hyperlink r:id="rId55" w:history="1">
        <w:r w:rsidR="00DA050C">
          <w:rPr>
            <w:rStyle w:val="Hyperlink"/>
          </w:rPr>
          <w:t>SEC</w:t>
        </w:r>
      </w:hyperlink>
      <w:hyperlink r:id="rId56" w:history="1">
        <w:r w:rsidR="00DA050C">
          <w:rPr>
            <w:rStyle w:val="Hyperlink"/>
          </w:rPr>
          <w:t xml:space="preserve"> 10-K</w:t>
        </w:r>
      </w:hyperlink>
    </w:p>
    <w:p w14:paraId="7E6CB2DC" w14:textId="77777777" w:rsidR="00BC7979" w:rsidRDefault="00BC7979" w:rsidP="00BC7979">
      <w:pPr>
        <w:spacing w:line="276" w:lineRule="auto"/>
        <w:ind w:left="1440" w:hanging="540"/>
      </w:pPr>
    </w:p>
    <w:p w14:paraId="2B169B88" w14:textId="77777777" w:rsidR="00BC7979" w:rsidRDefault="00BC7979" w:rsidP="00BC7979">
      <w:pPr>
        <w:spacing w:line="276" w:lineRule="auto"/>
        <w:ind w:firstLine="720"/>
      </w:pPr>
      <w:r>
        <w:t>Escalation Rate of Annual Capital Expenditures</w:t>
      </w:r>
    </w:p>
    <w:p w14:paraId="1D5982C1" w14:textId="77777777" w:rsidR="00BC7979" w:rsidRDefault="00BC7979" w:rsidP="00BC7979">
      <w:pPr>
        <w:spacing w:line="276" w:lineRule="auto"/>
        <w:ind w:left="144" w:firstLine="720"/>
      </w:pPr>
      <w:r>
        <w:t>Units: %</w:t>
      </w:r>
    </w:p>
    <w:p w14:paraId="0DF9F17F" w14:textId="77777777" w:rsidR="00BC7979" w:rsidRDefault="00BC7979" w:rsidP="00BC7979">
      <w:pPr>
        <w:spacing w:line="276" w:lineRule="auto"/>
        <w:ind w:left="144" w:firstLine="720"/>
      </w:pPr>
      <w:r>
        <w:t xml:space="preserve">Description: </w:t>
      </w:r>
    </w:p>
    <w:p w14:paraId="48B23E46" w14:textId="77777777" w:rsidR="00BC7979" w:rsidRDefault="00BC7979" w:rsidP="00BC7979">
      <w:pPr>
        <w:spacing w:line="276" w:lineRule="auto"/>
        <w:ind w:left="1440"/>
      </w:pPr>
      <w:r>
        <w:t xml:space="preserve">This input is asking for the average percent change in capital expenditure from year-to-year that is projected for the following years. Either a historical average or a projection by the utility or user can be input. </w:t>
      </w:r>
    </w:p>
    <w:p w14:paraId="790BD28D" w14:textId="77777777" w:rsidR="00BC7979" w:rsidRDefault="00BC7979" w:rsidP="00BC7979">
      <w:pPr>
        <w:spacing w:line="276" w:lineRule="auto"/>
        <w:ind w:left="870"/>
      </w:pPr>
      <w:r>
        <w:t>Example Calculation:</w:t>
      </w:r>
    </w:p>
    <w:p w14:paraId="5599643B" w14:textId="77777777" w:rsidR="00BC7979" w:rsidRDefault="00BC7979" w:rsidP="00BC7979">
      <w:pPr>
        <w:spacing w:line="276" w:lineRule="auto"/>
        <w:ind w:left="1440"/>
      </w:pPr>
      <w:r>
        <w:t xml:space="preserve">Can be calculated by averaging the year-to-year in capital expenditures across selected years (3-5 years is the norm). </w:t>
      </w:r>
    </w:p>
    <w:p w14:paraId="78A712C2" w14:textId="77777777" w:rsidR="00BC7979" w:rsidRDefault="00BC7979" w:rsidP="00BC7979">
      <w:pPr>
        <w:spacing w:line="276" w:lineRule="auto"/>
        <w:ind w:left="1440" w:hanging="540"/>
      </w:pPr>
      <w:r>
        <w:t xml:space="preserve">Source: PSC filings for projections or </w:t>
      </w:r>
      <w:hyperlink r:id="rId57" w:history="1">
        <w:r w:rsidR="00E0055D">
          <w:rPr>
            <w:rStyle w:val="Hyperlink"/>
          </w:rPr>
          <w:t>SEC</w:t>
        </w:r>
      </w:hyperlink>
      <w:hyperlink r:id="rId58" w:history="1">
        <w:r w:rsidR="00E0055D">
          <w:rPr>
            <w:rStyle w:val="Hyperlink"/>
          </w:rPr>
          <w:t xml:space="preserve"> 10-K</w:t>
        </w:r>
      </w:hyperlink>
      <w:r>
        <w:t xml:space="preserve"> for historical average.</w:t>
      </w:r>
    </w:p>
    <w:p w14:paraId="3C8788D3" w14:textId="77777777" w:rsidR="00BC7979" w:rsidRDefault="00BC7979" w:rsidP="00BC7979">
      <w:pPr>
        <w:spacing w:line="276" w:lineRule="auto"/>
      </w:pPr>
    </w:p>
    <w:p w14:paraId="3698D34E" w14:textId="77777777" w:rsidR="00BC7979" w:rsidRDefault="00BC7979" w:rsidP="00BC7979">
      <w:pPr>
        <w:spacing w:line="276" w:lineRule="auto"/>
      </w:pPr>
    </w:p>
    <w:p w14:paraId="1FEF2A35" w14:textId="77777777" w:rsidR="00BC7979" w:rsidRDefault="00BC7979" w:rsidP="00BC7979">
      <w:pPr>
        <w:spacing w:line="276" w:lineRule="auto"/>
      </w:pPr>
    </w:p>
    <w:p w14:paraId="4464436E" w14:textId="77777777" w:rsidR="00D81094" w:rsidRDefault="00D81094" w:rsidP="00BC7979">
      <w:pPr>
        <w:spacing w:line="276" w:lineRule="auto"/>
      </w:pPr>
    </w:p>
    <w:p w14:paraId="557BA29C" w14:textId="77777777" w:rsidR="00D81094" w:rsidRDefault="00D81094" w:rsidP="00BC7979">
      <w:pPr>
        <w:spacing w:line="276" w:lineRule="auto"/>
      </w:pPr>
    </w:p>
    <w:p w14:paraId="1B0D51B4" w14:textId="77777777" w:rsidR="00D81094" w:rsidRDefault="00D81094" w:rsidP="00BC7979">
      <w:pPr>
        <w:spacing w:line="276" w:lineRule="auto"/>
      </w:pPr>
    </w:p>
    <w:p w14:paraId="54C4F861" w14:textId="23799155" w:rsidR="00AD5302" w:rsidRPr="00AD5302" w:rsidRDefault="00AD5302" w:rsidP="00BC7979">
      <w:pPr>
        <w:spacing w:line="276" w:lineRule="auto"/>
        <w:ind w:firstLine="720"/>
        <w:rPr>
          <w:u w:val="single"/>
        </w:rPr>
      </w:pPr>
      <w:r w:rsidRPr="00AD5302">
        <w:rPr>
          <w:u w:val="single"/>
        </w:rPr>
        <w:t>Cost of Production:</w:t>
      </w:r>
    </w:p>
    <w:p w14:paraId="01EEEA61" w14:textId="68910253" w:rsidR="00BC7979" w:rsidRDefault="00BC7979" w:rsidP="00BC7979">
      <w:pPr>
        <w:spacing w:line="276" w:lineRule="auto"/>
        <w:ind w:firstLine="720"/>
      </w:pPr>
      <w:r>
        <w:t>On-Peak Costs of Production</w:t>
      </w:r>
    </w:p>
    <w:p w14:paraId="45A2369F" w14:textId="77777777" w:rsidR="00BC7979" w:rsidRDefault="00BC7979" w:rsidP="00BC7979">
      <w:pPr>
        <w:spacing w:line="276" w:lineRule="auto"/>
        <w:ind w:left="144" w:firstLine="720"/>
      </w:pPr>
      <w:r>
        <w:t>Units: $/MWh</w:t>
      </w:r>
    </w:p>
    <w:p w14:paraId="7B16521E" w14:textId="77777777" w:rsidR="00BC7979" w:rsidRDefault="00BC7979" w:rsidP="00BC7979">
      <w:pPr>
        <w:spacing w:line="276" w:lineRule="auto"/>
        <w:ind w:left="144" w:firstLine="720"/>
      </w:pPr>
      <w:r>
        <w:t xml:space="preserve">Description: </w:t>
      </w:r>
    </w:p>
    <w:p w14:paraId="2259505F" w14:textId="3ADFD52B" w:rsidR="00BC7979" w:rsidRDefault="00BC7979" w:rsidP="00BC7979">
      <w:pPr>
        <w:spacing w:line="276" w:lineRule="auto"/>
        <w:ind w:left="1440"/>
      </w:pPr>
      <w:r>
        <w:t xml:space="preserve">This input is asking for the utility’s average costs of production </w:t>
      </w:r>
      <w:r w:rsidR="006A0B08">
        <w:t xml:space="preserve">for the </w:t>
      </w:r>
      <w:r w:rsidR="00282BDC">
        <w:t>on-</w:t>
      </w:r>
      <w:r>
        <w:t xml:space="preserve">peak periods. </w:t>
      </w:r>
      <w:r w:rsidR="00445FBA">
        <w:t>This includes fuel expenses, purchased power expenses, and any variable</w:t>
      </w:r>
      <w:r w:rsidR="00A23F3E">
        <w:t xml:space="preserve"> operations and</w:t>
      </w:r>
      <w:r w:rsidR="00445FBA">
        <w:t xml:space="preserve"> </w:t>
      </w:r>
      <w:r w:rsidR="00A23F3E">
        <w:t>maintenance (</w:t>
      </w:r>
      <w:r w:rsidR="00445FBA">
        <w:t>O&amp;M</w:t>
      </w:r>
      <w:r w:rsidR="00A23F3E">
        <w:t xml:space="preserve">) </w:t>
      </w:r>
      <w:r w:rsidR="00445FBA">
        <w:t xml:space="preserve">costs that apply to the peak period. </w:t>
      </w:r>
    </w:p>
    <w:p w14:paraId="576D0F92" w14:textId="77777777" w:rsidR="00BC7979" w:rsidRDefault="00BC7979" w:rsidP="00BC7979">
      <w:pPr>
        <w:spacing w:line="276" w:lineRule="auto"/>
        <w:ind w:left="870"/>
      </w:pPr>
      <w:r>
        <w:t>Example Calculation:</w:t>
      </w:r>
    </w:p>
    <w:p w14:paraId="0DFB43B0" w14:textId="6D7CF390" w:rsidR="00BC7979" w:rsidRDefault="006A0B08" w:rsidP="00BC7979">
      <w:pPr>
        <w:spacing w:line="276" w:lineRule="auto"/>
        <w:ind w:left="1440"/>
      </w:pPr>
      <w:r>
        <w:t xml:space="preserve">A calculation is only </w:t>
      </w:r>
      <w:r w:rsidR="00B01C88">
        <w:t>necessary</w:t>
      </w:r>
      <w:r>
        <w:t xml:space="preserve"> if QF Avoided Cost is not available or if there is doubt of its validity. </w:t>
      </w:r>
      <w:r w:rsidR="00BC7979">
        <w:t>Can be calculated by averaging the hourly “system lambdas”</w:t>
      </w:r>
      <w:r w:rsidR="00BC7979">
        <w:rPr>
          <w:rStyle w:val="FootnoteReference"/>
        </w:rPr>
        <w:footnoteReference w:id="32"/>
      </w:r>
      <w:r w:rsidR="00BC7979">
        <w:t xml:space="preserve"> for the peak period.</w:t>
      </w:r>
      <w:r w:rsidR="00C03361">
        <w:t xml:space="preserve"> </w:t>
      </w:r>
    </w:p>
    <w:p w14:paraId="7B605CC6" w14:textId="1A052154" w:rsidR="00BC7979" w:rsidRDefault="00BC7979" w:rsidP="00BC7979">
      <w:pPr>
        <w:spacing w:line="276" w:lineRule="auto"/>
        <w:ind w:left="1440" w:hanging="540"/>
      </w:pPr>
      <w:r>
        <w:t>Source:</w:t>
      </w:r>
      <w:r w:rsidR="00282BDC" w:rsidDel="00282BDC">
        <w:t xml:space="preserve"> </w:t>
      </w:r>
      <w:r w:rsidR="00282BDC">
        <w:t>Q</w:t>
      </w:r>
      <w:r>
        <w:t>F Avoided Cost</w:t>
      </w:r>
      <w:r>
        <w:rPr>
          <w:rStyle w:val="FootnoteReference"/>
        </w:rPr>
        <w:footnoteReference w:id="33"/>
      </w:r>
      <w:r w:rsidR="00B01C88">
        <w:t>,</w:t>
      </w:r>
      <w:r>
        <w:t xml:space="preserve"> FERC 714 for “system lambdas”</w:t>
      </w:r>
    </w:p>
    <w:p w14:paraId="3AD40DB8" w14:textId="77777777" w:rsidR="00BC7979" w:rsidRDefault="00BC7979" w:rsidP="00BC7979">
      <w:pPr>
        <w:spacing w:line="276" w:lineRule="auto"/>
        <w:ind w:left="1440"/>
      </w:pPr>
    </w:p>
    <w:p w14:paraId="741F13FF" w14:textId="1E132663" w:rsidR="00BC7979" w:rsidRDefault="00BC7979" w:rsidP="00BC7979">
      <w:pPr>
        <w:spacing w:line="276" w:lineRule="auto"/>
        <w:ind w:firstLine="720"/>
      </w:pPr>
      <w:r>
        <w:t>Off-Peak Costs of Production</w:t>
      </w:r>
    </w:p>
    <w:p w14:paraId="674F1AC4" w14:textId="77777777" w:rsidR="00BC7979" w:rsidRDefault="00BC7979" w:rsidP="00BC7979">
      <w:pPr>
        <w:spacing w:line="276" w:lineRule="auto"/>
        <w:ind w:left="144" w:firstLine="720"/>
      </w:pPr>
      <w:r>
        <w:t>Units: $/MWh</w:t>
      </w:r>
    </w:p>
    <w:p w14:paraId="60C2B83A" w14:textId="77777777" w:rsidR="00BC7979" w:rsidRDefault="00BC7979" w:rsidP="00BC7979">
      <w:pPr>
        <w:spacing w:line="276" w:lineRule="auto"/>
        <w:ind w:left="144" w:firstLine="720"/>
      </w:pPr>
      <w:r>
        <w:t xml:space="preserve">Description: </w:t>
      </w:r>
    </w:p>
    <w:p w14:paraId="29227FE9" w14:textId="4DC71923" w:rsidR="00BC7979" w:rsidRDefault="00BC7979" w:rsidP="00BC7979">
      <w:pPr>
        <w:spacing w:line="276" w:lineRule="auto"/>
        <w:ind w:left="1440"/>
      </w:pPr>
      <w:r>
        <w:t xml:space="preserve">This input is asking for the utility’s average costs of production </w:t>
      </w:r>
      <w:r w:rsidR="00282BDC">
        <w:t xml:space="preserve">for the </w:t>
      </w:r>
      <w:r>
        <w:t>off-peak periods</w:t>
      </w:r>
      <w:r w:rsidR="00435D1F">
        <w:t>.</w:t>
      </w:r>
      <w:r w:rsidR="00445FBA">
        <w:t xml:space="preserve"> This includes fuel expenses, purchased power expenses, and any variable O&amp;M costs that apply to the off-peak period.</w:t>
      </w:r>
      <w:r w:rsidR="00435D1F">
        <w:t xml:space="preserve"> </w:t>
      </w:r>
    </w:p>
    <w:p w14:paraId="2B91C445" w14:textId="77777777" w:rsidR="00BC7979" w:rsidRDefault="00BC7979" w:rsidP="00BC7979">
      <w:pPr>
        <w:spacing w:line="276" w:lineRule="auto"/>
        <w:ind w:left="870"/>
      </w:pPr>
      <w:r>
        <w:t>Example Calculation:</w:t>
      </w:r>
    </w:p>
    <w:p w14:paraId="12234E81" w14:textId="51DC5A79" w:rsidR="00BC7979" w:rsidRDefault="00282BDC" w:rsidP="00BC7979">
      <w:pPr>
        <w:spacing w:line="276" w:lineRule="auto"/>
        <w:ind w:left="1440"/>
      </w:pPr>
      <w:r>
        <w:t xml:space="preserve">A calculation is only </w:t>
      </w:r>
      <w:r w:rsidR="00A82528">
        <w:t>necessary</w:t>
      </w:r>
      <w:r>
        <w:t xml:space="preserve"> if QF Avoided Cost is not available or if there is doubt of its validity. </w:t>
      </w:r>
      <w:r w:rsidR="00BC7979">
        <w:t>Can be calculated by averaging the hourly “system lambdas”</w:t>
      </w:r>
      <w:r w:rsidR="00BC7979" w:rsidRPr="00EC2BD2">
        <w:rPr>
          <w:vertAlign w:val="superscript"/>
        </w:rPr>
        <w:t>1</w:t>
      </w:r>
      <w:r w:rsidR="00D42E6C">
        <w:rPr>
          <w:vertAlign w:val="superscript"/>
        </w:rPr>
        <w:t>7</w:t>
      </w:r>
      <w:r w:rsidR="00BC7979">
        <w:t xml:space="preserve"> for the off-peak period.</w:t>
      </w:r>
    </w:p>
    <w:p w14:paraId="6F87709E" w14:textId="099C04B8" w:rsidR="00BC7979" w:rsidRDefault="00BC7979" w:rsidP="00BC7979">
      <w:pPr>
        <w:spacing w:line="276" w:lineRule="auto"/>
        <w:ind w:left="1440" w:hanging="540"/>
      </w:pPr>
      <w:r>
        <w:t>Source:</w:t>
      </w:r>
      <w:r w:rsidR="00C461C8">
        <w:t xml:space="preserve"> </w:t>
      </w:r>
      <w:r>
        <w:t>QF Avoided Cost</w:t>
      </w:r>
      <w:r w:rsidR="000628BB">
        <w:t xml:space="preserve"> filings</w:t>
      </w:r>
      <w:r w:rsidRPr="00EC2BD2">
        <w:rPr>
          <w:vertAlign w:val="superscript"/>
        </w:rPr>
        <w:t>1</w:t>
      </w:r>
      <w:r w:rsidR="00D42E6C">
        <w:rPr>
          <w:vertAlign w:val="superscript"/>
        </w:rPr>
        <w:t>8</w:t>
      </w:r>
      <w:r w:rsidR="00E66176">
        <w:t>,</w:t>
      </w:r>
      <w:r w:rsidR="00C013E5">
        <w:t xml:space="preserve"> </w:t>
      </w:r>
      <w:r>
        <w:t xml:space="preserve">FERC 714 for “system lambdas” </w:t>
      </w:r>
    </w:p>
    <w:p w14:paraId="695FFB02" w14:textId="77777777" w:rsidR="00D81094" w:rsidRDefault="00D81094" w:rsidP="00BC7979">
      <w:pPr>
        <w:spacing w:line="276" w:lineRule="auto"/>
        <w:ind w:left="1440"/>
      </w:pPr>
    </w:p>
    <w:p w14:paraId="1553144B" w14:textId="77777777" w:rsidR="00BB7170" w:rsidRDefault="00BB7170">
      <w:pPr>
        <w:suppressAutoHyphens w:val="0"/>
      </w:pPr>
      <w:r>
        <w:br w:type="page"/>
      </w:r>
    </w:p>
    <w:p w14:paraId="08C9C7A8" w14:textId="7C063603" w:rsidR="00BC7979" w:rsidRDefault="00BC7979" w:rsidP="00BC7979">
      <w:pPr>
        <w:spacing w:line="276" w:lineRule="auto"/>
        <w:ind w:firstLine="720"/>
      </w:pPr>
      <w:r>
        <w:t>Escalation Rate for Costs of Peak Production</w:t>
      </w:r>
    </w:p>
    <w:p w14:paraId="3FFD3C84" w14:textId="77777777" w:rsidR="00BC7979" w:rsidRDefault="00BC7979" w:rsidP="00BC7979">
      <w:pPr>
        <w:spacing w:line="276" w:lineRule="auto"/>
        <w:ind w:left="144" w:firstLine="720"/>
      </w:pPr>
      <w:r>
        <w:t>Units: %</w:t>
      </w:r>
    </w:p>
    <w:p w14:paraId="71076E8A" w14:textId="77777777" w:rsidR="00BC7979" w:rsidRDefault="00BC7979" w:rsidP="00BC7979">
      <w:pPr>
        <w:spacing w:line="276" w:lineRule="auto"/>
        <w:ind w:left="144" w:firstLine="720"/>
      </w:pPr>
      <w:r>
        <w:t xml:space="preserve">Description: </w:t>
      </w:r>
    </w:p>
    <w:p w14:paraId="45289520" w14:textId="77777777" w:rsidR="00BC7979" w:rsidRDefault="00BC7979" w:rsidP="00BC7979">
      <w:pPr>
        <w:spacing w:line="276" w:lineRule="auto"/>
        <w:ind w:left="1440"/>
      </w:pPr>
      <w:r>
        <w:t xml:space="preserve">This input is asking for the average percent change in the utility’s cost of peak production from year-to-year is projected for future years. Either a historical average or a projection by the utility or user can be input. </w:t>
      </w:r>
    </w:p>
    <w:p w14:paraId="40EDC32B" w14:textId="77777777" w:rsidR="00BC7979" w:rsidRDefault="00BC7979" w:rsidP="00BC7979">
      <w:pPr>
        <w:spacing w:line="276" w:lineRule="auto"/>
        <w:ind w:left="870"/>
      </w:pPr>
      <w:r>
        <w:t>Example Calculation:</w:t>
      </w:r>
    </w:p>
    <w:p w14:paraId="7C651A97" w14:textId="416DCA34" w:rsidR="00BC7979" w:rsidRDefault="00BC7979" w:rsidP="00BC7979">
      <w:pPr>
        <w:spacing w:line="276" w:lineRule="auto"/>
        <w:ind w:left="1440"/>
      </w:pPr>
      <w:r w:rsidRPr="00EC2BD2">
        <w:t xml:space="preserve">Can be calculated by averaging the year-to-year change across select years of peak production costs (3-5 years in the norm). </w:t>
      </w:r>
      <w:r w:rsidR="000628BB">
        <w:t>The user can also use EIA projections of natural gas price escalation rates as a proxy.</w:t>
      </w:r>
    </w:p>
    <w:p w14:paraId="4DBA081E" w14:textId="76B161DE" w:rsidR="00BC7979" w:rsidRDefault="00BC7979" w:rsidP="00BC7979">
      <w:pPr>
        <w:spacing w:line="276" w:lineRule="auto"/>
        <w:ind w:left="1440" w:hanging="540"/>
      </w:pPr>
      <w:r>
        <w:t xml:space="preserve">Source: </w:t>
      </w:r>
      <w:r w:rsidR="000628BB">
        <w:t xml:space="preserve">QF Avoided Cost filings; </w:t>
      </w:r>
      <w:r w:rsidR="00CF1857">
        <w:t>EIA</w:t>
      </w:r>
      <w:r>
        <w:t xml:space="preserve"> projection</w:t>
      </w:r>
      <w:r w:rsidR="000628BB">
        <w:t xml:space="preserve">s </w:t>
      </w:r>
      <w:r w:rsidR="00C461C8">
        <w:t>or</w:t>
      </w:r>
      <w:r>
        <w:t xml:space="preserve"> historical </w:t>
      </w:r>
      <w:r w:rsidR="007251A0">
        <w:t>fuel price</w:t>
      </w:r>
      <w:r w:rsidR="000628BB">
        <w:t xml:space="preserve"> data</w:t>
      </w:r>
      <w:r>
        <w:t xml:space="preserve">. </w:t>
      </w:r>
    </w:p>
    <w:p w14:paraId="192E5053" w14:textId="77777777" w:rsidR="00530565" w:rsidRDefault="00530565" w:rsidP="00BC7979">
      <w:pPr>
        <w:spacing w:line="276" w:lineRule="auto"/>
        <w:ind w:left="1440" w:hanging="540"/>
      </w:pPr>
    </w:p>
    <w:p w14:paraId="63D6C124" w14:textId="77777777" w:rsidR="00BC7979" w:rsidRDefault="00BC7979" w:rsidP="00BC7979">
      <w:pPr>
        <w:spacing w:line="276" w:lineRule="auto"/>
        <w:ind w:firstLine="720"/>
      </w:pPr>
      <w:r>
        <w:t>Escalation Rate for Costs of Off-Peak Production</w:t>
      </w:r>
    </w:p>
    <w:p w14:paraId="40BC5FF7" w14:textId="77777777" w:rsidR="00BC7979" w:rsidRDefault="00BC7979" w:rsidP="00BC7979">
      <w:pPr>
        <w:spacing w:line="276" w:lineRule="auto"/>
        <w:ind w:left="144" w:firstLine="720"/>
      </w:pPr>
      <w:r>
        <w:t>Units: percentage</w:t>
      </w:r>
    </w:p>
    <w:p w14:paraId="15BA5110" w14:textId="77777777" w:rsidR="00BC7979" w:rsidRDefault="00BC7979" w:rsidP="00BC7979">
      <w:pPr>
        <w:spacing w:line="276" w:lineRule="auto"/>
        <w:ind w:left="144" w:firstLine="720"/>
      </w:pPr>
      <w:r>
        <w:t xml:space="preserve">Description: </w:t>
      </w:r>
    </w:p>
    <w:p w14:paraId="66471E36" w14:textId="5D8BFECD" w:rsidR="000628BB" w:rsidRDefault="000628BB" w:rsidP="00BC7979">
      <w:pPr>
        <w:spacing w:line="276" w:lineRule="auto"/>
        <w:ind w:left="1440"/>
      </w:pPr>
      <w:r>
        <w:t>This input is asking for the average percent change in the utility’s cost of peak production from year-to-year is projected for future years. Either a historical average or a projection by the utility or user can be input.</w:t>
      </w:r>
    </w:p>
    <w:p w14:paraId="5966254D" w14:textId="3EB1D171" w:rsidR="00530565" w:rsidRDefault="00530565" w:rsidP="00AD5302">
      <w:pPr>
        <w:spacing w:line="276" w:lineRule="auto"/>
        <w:ind w:firstLine="900"/>
      </w:pPr>
      <w:r>
        <w:t>Example Calculation:</w:t>
      </w:r>
    </w:p>
    <w:p w14:paraId="46BCA70E" w14:textId="5EBAE4D3" w:rsidR="00530565" w:rsidRDefault="00530565" w:rsidP="00530565">
      <w:pPr>
        <w:spacing w:line="276" w:lineRule="auto"/>
        <w:ind w:left="1440"/>
      </w:pPr>
      <w:r>
        <w:t xml:space="preserve">Can be calculated by </w:t>
      </w:r>
      <w:r w:rsidRPr="00EC2BD2">
        <w:t xml:space="preserve">averaging the year-to-year change across select years of peak production costs (3-5 years in the norm). </w:t>
      </w:r>
      <w:r w:rsidR="000628BB">
        <w:t xml:space="preserve">The user can also use EIA projections of natural gas price escalation rates as a proxy. </w:t>
      </w:r>
    </w:p>
    <w:p w14:paraId="23E4547B" w14:textId="0BDA876E" w:rsidR="00BC7979" w:rsidRDefault="00BC7979" w:rsidP="00AD5302">
      <w:pPr>
        <w:spacing w:line="276" w:lineRule="auto"/>
        <w:ind w:firstLine="900"/>
      </w:pPr>
      <w:r>
        <w:t>Source:</w:t>
      </w:r>
      <w:r w:rsidR="00C461C8" w:rsidDel="00C461C8">
        <w:t xml:space="preserve"> </w:t>
      </w:r>
      <w:r w:rsidR="000628BB">
        <w:t xml:space="preserve">QF Avoided Cost filings; EIA projections or historical fuel price </w:t>
      </w:r>
      <w:r w:rsidR="000628BB">
        <w:tab/>
      </w:r>
      <w:r w:rsidR="000628BB">
        <w:tab/>
      </w:r>
      <w:r w:rsidR="000628BB">
        <w:tab/>
        <w:t>data.</w:t>
      </w:r>
    </w:p>
    <w:p w14:paraId="0989BE84" w14:textId="77777777" w:rsidR="00BC7979" w:rsidRDefault="00BC7979" w:rsidP="00E22B98">
      <w:pPr>
        <w:spacing w:line="276" w:lineRule="auto"/>
      </w:pPr>
    </w:p>
    <w:p w14:paraId="7420B29D" w14:textId="257135BC" w:rsidR="00AD5302" w:rsidRPr="00AD5302" w:rsidRDefault="00AD5302" w:rsidP="00BC7979">
      <w:pPr>
        <w:spacing w:line="276" w:lineRule="auto"/>
        <w:ind w:firstLine="720"/>
        <w:rPr>
          <w:u w:val="single"/>
        </w:rPr>
      </w:pPr>
      <w:r w:rsidRPr="00AD5302">
        <w:rPr>
          <w:u w:val="single"/>
        </w:rPr>
        <w:t>Capital Structure:</w:t>
      </w:r>
    </w:p>
    <w:p w14:paraId="045E7A8A" w14:textId="77777777" w:rsidR="00BC7979" w:rsidRDefault="00BC7979" w:rsidP="00BC7979">
      <w:pPr>
        <w:spacing w:line="276" w:lineRule="auto"/>
        <w:ind w:firstLine="720"/>
      </w:pPr>
      <w:r>
        <w:t>% Equity</w:t>
      </w:r>
    </w:p>
    <w:p w14:paraId="378FB688" w14:textId="77777777" w:rsidR="00BC7979" w:rsidRDefault="00BC7979" w:rsidP="00BC7979">
      <w:pPr>
        <w:spacing w:line="276" w:lineRule="auto"/>
        <w:ind w:left="144" w:firstLine="720"/>
      </w:pPr>
      <w:r>
        <w:t>Units: percentage</w:t>
      </w:r>
    </w:p>
    <w:p w14:paraId="1F5A544D" w14:textId="77777777" w:rsidR="00BC7979" w:rsidRDefault="00BC7979" w:rsidP="00BC7979">
      <w:pPr>
        <w:spacing w:line="276" w:lineRule="auto"/>
        <w:ind w:left="144" w:firstLine="720"/>
      </w:pPr>
      <w:r>
        <w:t xml:space="preserve">Description: </w:t>
      </w:r>
    </w:p>
    <w:p w14:paraId="6760E018" w14:textId="1314F015" w:rsidR="00BC7979" w:rsidRDefault="00BC7979" w:rsidP="00BC7979">
      <w:pPr>
        <w:spacing w:line="276" w:lineRule="auto"/>
        <w:ind w:left="1440"/>
      </w:pPr>
      <w:r>
        <w:t>This input is asking for the percent of the utility firm’s capital st</w:t>
      </w:r>
      <w:r w:rsidR="00AD5302">
        <w:t xml:space="preserve">ructure, i.e. financial </w:t>
      </w:r>
      <w:proofErr w:type="gramStart"/>
      <w:r w:rsidR="00AD5302">
        <w:t xml:space="preserve">assets, </w:t>
      </w:r>
      <w:r>
        <w:t>that</w:t>
      </w:r>
      <w:proofErr w:type="gramEnd"/>
      <w:r>
        <w:t xml:space="preserve"> is made up by equity. At a high level, utility firms can divide their capital structure into equity and debt. </w:t>
      </w:r>
    </w:p>
    <w:p w14:paraId="31EA8473" w14:textId="19502C6B" w:rsidR="00BC7979" w:rsidRDefault="00BC7979" w:rsidP="00E22B98">
      <w:pPr>
        <w:spacing w:line="276" w:lineRule="auto"/>
        <w:ind w:left="1440" w:hanging="540"/>
      </w:pPr>
      <w:r>
        <w:t>Source:</w:t>
      </w:r>
      <w:r w:rsidR="00C461C8" w:rsidDel="00C461C8">
        <w:t xml:space="preserve"> </w:t>
      </w:r>
      <w:r>
        <w:t xml:space="preserve">PSC filing, </w:t>
      </w:r>
      <w:hyperlink r:id="rId59" w:history="1">
        <w:r w:rsidR="00E0055D">
          <w:rPr>
            <w:rStyle w:val="Hyperlink"/>
          </w:rPr>
          <w:t>SEC</w:t>
        </w:r>
      </w:hyperlink>
      <w:hyperlink r:id="rId60" w:history="1">
        <w:r w:rsidR="00E0055D">
          <w:rPr>
            <w:rStyle w:val="Hyperlink"/>
          </w:rPr>
          <w:t xml:space="preserve"> 10-K</w:t>
        </w:r>
      </w:hyperlink>
      <w:r>
        <w:t>.</w:t>
      </w:r>
    </w:p>
    <w:p w14:paraId="0CE7FDC8" w14:textId="77777777" w:rsidR="00BC7979" w:rsidRDefault="00BC7979" w:rsidP="00E22B98">
      <w:pPr>
        <w:spacing w:line="276" w:lineRule="auto"/>
      </w:pPr>
    </w:p>
    <w:p w14:paraId="2F3E36D2" w14:textId="77777777" w:rsidR="00BB7170" w:rsidRDefault="00BB7170" w:rsidP="00BC7979">
      <w:pPr>
        <w:spacing w:line="276" w:lineRule="auto"/>
        <w:ind w:firstLine="720"/>
      </w:pPr>
    </w:p>
    <w:p w14:paraId="3AFF9881" w14:textId="77777777" w:rsidR="00BC7979" w:rsidRDefault="00BC7979" w:rsidP="00BC7979">
      <w:pPr>
        <w:spacing w:line="276" w:lineRule="auto"/>
        <w:ind w:firstLine="720"/>
      </w:pPr>
      <w:r>
        <w:t>Target ROE</w:t>
      </w:r>
    </w:p>
    <w:p w14:paraId="7A8A6533" w14:textId="77777777" w:rsidR="00BC7979" w:rsidRDefault="00BC7979" w:rsidP="00BC7979">
      <w:pPr>
        <w:spacing w:line="276" w:lineRule="auto"/>
        <w:ind w:left="144" w:firstLine="720"/>
      </w:pPr>
      <w:r>
        <w:t>Units: percentage</w:t>
      </w:r>
    </w:p>
    <w:p w14:paraId="2A595BA7" w14:textId="77777777" w:rsidR="00BC7979" w:rsidRDefault="00BC7979" w:rsidP="00BC7979">
      <w:pPr>
        <w:spacing w:line="276" w:lineRule="auto"/>
        <w:ind w:left="144" w:firstLine="720"/>
      </w:pPr>
      <w:r>
        <w:t>Description:</w:t>
      </w:r>
    </w:p>
    <w:p w14:paraId="411DCE8A" w14:textId="598A4706" w:rsidR="00BC7979" w:rsidRDefault="00BC7979" w:rsidP="00BC7979">
      <w:pPr>
        <w:spacing w:line="276" w:lineRule="auto"/>
        <w:ind w:left="1440"/>
      </w:pPr>
      <w:r>
        <w:t xml:space="preserve">This input is asking for the Return on Equity (ROE) that the public service commission </w:t>
      </w:r>
      <w:r w:rsidR="000B11E9">
        <w:t>authorizes for</w:t>
      </w:r>
      <w:r>
        <w:t xml:space="preserve"> the utility firm. This is analogous to the utility firm’s cost of equity. </w:t>
      </w:r>
    </w:p>
    <w:p w14:paraId="53DC9FEC" w14:textId="00775AA4" w:rsidR="00BC7979" w:rsidRDefault="00BC7979" w:rsidP="00D511BF">
      <w:pPr>
        <w:spacing w:line="276" w:lineRule="auto"/>
        <w:ind w:left="1440" w:hanging="540"/>
      </w:pPr>
      <w:r>
        <w:t>Source:</w:t>
      </w:r>
      <w:r w:rsidR="00C461C8" w:rsidDel="00C461C8">
        <w:t xml:space="preserve"> </w:t>
      </w:r>
      <w:r>
        <w:t xml:space="preserve">PSC filings, </w:t>
      </w:r>
      <w:hyperlink r:id="rId61" w:history="1">
        <w:r w:rsidR="00E0055D">
          <w:rPr>
            <w:rStyle w:val="Hyperlink"/>
          </w:rPr>
          <w:t>SEC</w:t>
        </w:r>
      </w:hyperlink>
      <w:hyperlink r:id="rId62" w:history="1">
        <w:r w:rsidR="00E0055D">
          <w:rPr>
            <w:rStyle w:val="Hyperlink"/>
          </w:rPr>
          <w:t xml:space="preserve"> 10-K</w:t>
        </w:r>
      </w:hyperlink>
      <w:r>
        <w:t>.</w:t>
      </w:r>
    </w:p>
    <w:p w14:paraId="51EFFB79" w14:textId="77777777" w:rsidR="00BC7979" w:rsidRDefault="00BC7979" w:rsidP="00E22B98">
      <w:pPr>
        <w:spacing w:line="276" w:lineRule="auto"/>
      </w:pPr>
    </w:p>
    <w:p w14:paraId="7E8F2985" w14:textId="77777777" w:rsidR="00BC7979" w:rsidRDefault="00BC7979" w:rsidP="00BC7979">
      <w:pPr>
        <w:spacing w:line="276" w:lineRule="auto"/>
        <w:ind w:firstLine="720"/>
      </w:pPr>
      <w:r>
        <w:t>% Debt</w:t>
      </w:r>
    </w:p>
    <w:p w14:paraId="5538C7FB" w14:textId="77777777" w:rsidR="00BC7979" w:rsidRDefault="00BC7979" w:rsidP="00BC7979">
      <w:pPr>
        <w:spacing w:line="276" w:lineRule="auto"/>
        <w:ind w:left="144" w:firstLine="720"/>
      </w:pPr>
      <w:r>
        <w:t>Units: percentage</w:t>
      </w:r>
    </w:p>
    <w:p w14:paraId="7E5CBAFA" w14:textId="77777777" w:rsidR="00BC7979" w:rsidRDefault="00BC7979" w:rsidP="00BC7979">
      <w:pPr>
        <w:spacing w:line="276" w:lineRule="auto"/>
        <w:ind w:left="144" w:firstLine="720"/>
      </w:pPr>
      <w:r>
        <w:t xml:space="preserve">Description: </w:t>
      </w:r>
    </w:p>
    <w:p w14:paraId="467DFE02" w14:textId="090956A6" w:rsidR="00BC7979" w:rsidRDefault="00BC7979" w:rsidP="00BC7979">
      <w:pPr>
        <w:spacing w:line="276" w:lineRule="auto"/>
        <w:ind w:left="1440"/>
      </w:pPr>
      <w:r>
        <w:t xml:space="preserve">This input is asking for the percent of the utility firm’s capital structure, i.e. financial </w:t>
      </w:r>
      <w:proofErr w:type="gramStart"/>
      <w:r>
        <w:t>assets, that</w:t>
      </w:r>
      <w:proofErr w:type="gramEnd"/>
      <w:r>
        <w:t xml:space="preserve"> is made up by</w:t>
      </w:r>
      <w:r w:rsidR="00A23F3E">
        <w:t xml:space="preserve"> long-term</w:t>
      </w:r>
      <w:r>
        <w:t xml:space="preserve"> debt. At a high level, utility firms can divide their capital structure into equity and debt. </w:t>
      </w:r>
    </w:p>
    <w:p w14:paraId="427E42A8" w14:textId="05B71D41" w:rsidR="00BC7979" w:rsidRDefault="00BC7979" w:rsidP="00E22B98">
      <w:pPr>
        <w:spacing w:line="276" w:lineRule="auto"/>
        <w:ind w:left="1440" w:hanging="540"/>
      </w:pPr>
      <w:r>
        <w:t>Source:</w:t>
      </w:r>
      <w:r w:rsidR="00C461C8" w:rsidDel="00C461C8">
        <w:t xml:space="preserve"> </w:t>
      </w:r>
      <w:r>
        <w:t xml:space="preserve">PSC filings, </w:t>
      </w:r>
      <w:hyperlink r:id="rId63" w:history="1">
        <w:r w:rsidR="00E0055D">
          <w:rPr>
            <w:rStyle w:val="Hyperlink"/>
          </w:rPr>
          <w:t>SEC</w:t>
        </w:r>
      </w:hyperlink>
      <w:hyperlink r:id="rId64" w:history="1">
        <w:r w:rsidR="00E0055D">
          <w:rPr>
            <w:rStyle w:val="Hyperlink"/>
          </w:rPr>
          <w:t xml:space="preserve"> 10-K</w:t>
        </w:r>
      </w:hyperlink>
      <w:r>
        <w:t>.</w:t>
      </w:r>
    </w:p>
    <w:p w14:paraId="67C7456A" w14:textId="77777777" w:rsidR="00ED71B2" w:rsidRDefault="00ED71B2" w:rsidP="00E22B98">
      <w:pPr>
        <w:spacing w:line="276" w:lineRule="auto"/>
      </w:pPr>
    </w:p>
    <w:p w14:paraId="62BED630" w14:textId="77777777" w:rsidR="00BC7979" w:rsidRDefault="00BC7979" w:rsidP="00BC7979">
      <w:pPr>
        <w:spacing w:line="276" w:lineRule="auto"/>
        <w:ind w:firstLine="720"/>
      </w:pPr>
      <w:r>
        <w:t>Cost of Debt</w:t>
      </w:r>
    </w:p>
    <w:p w14:paraId="4E2BD1BE" w14:textId="77777777" w:rsidR="00BC7979" w:rsidRDefault="00BC7979" w:rsidP="00BC7979">
      <w:pPr>
        <w:spacing w:line="276" w:lineRule="auto"/>
        <w:ind w:left="144" w:firstLine="720"/>
      </w:pPr>
      <w:r>
        <w:t>Units: percentage</w:t>
      </w:r>
    </w:p>
    <w:p w14:paraId="021A4BDB" w14:textId="77777777" w:rsidR="00BC7979" w:rsidRDefault="00BC7979" w:rsidP="00BC7979">
      <w:pPr>
        <w:spacing w:line="276" w:lineRule="auto"/>
        <w:ind w:left="144" w:firstLine="720"/>
      </w:pPr>
      <w:r>
        <w:t>Description:</w:t>
      </w:r>
    </w:p>
    <w:p w14:paraId="45DCBE44" w14:textId="77777777" w:rsidR="00BC7979" w:rsidRDefault="00BC7979" w:rsidP="00BC7979">
      <w:pPr>
        <w:spacing w:line="276" w:lineRule="auto"/>
        <w:ind w:left="1440"/>
      </w:pPr>
      <w:r>
        <w:t xml:space="preserve">This input is asking for the interest rate or cost of debt on the utility firm’s long-term debt. </w:t>
      </w:r>
    </w:p>
    <w:p w14:paraId="407C08E7" w14:textId="77777777" w:rsidR="00BC7979" w:rsidRDefault="00BC7979" w:rsidP="00E22B98">
      <w:pPr>
        <w:spacing w:line="276" w:lineRule="auto"/>
        <w:ind w:left="1440" w:hanging="540"/>
      </w:pPr>
      <w:r>
        <w:t>Source:</w:t>
      </w:r>
      <w:r w:rsidR="00BC6477">
        <w:t xml:space="preserve"> </w:t>
      </w:r>
      <w:r>
        <w:t xml:space="preserve">PSC filings, </w:t>
      </w:r>
      <w:hyperlink r:id="rId65" w:history="1">
        <w:r w:rsidR="00E0055D">
          <w:rPr>
            <w:rStyle w:val="Hyperlink"/>
          </w:rPr>
          <w:t>SEC</w:t>
        </w:r>
      </w:hyperlink>
      <w:hyperlink r:id="rId66" w:history="1">
        <w:r w:rsidR="00E0055D">
          <w:rPr>
            <w:rStyle w:val="Hyperlink"/>
          </w:rPr>
          <w:t xml:space="preserve"> 10-K</w:t>
        </w:r>
      </w:hyperlink>
      <w:r>
        <w:t>.</w:t>
      </w:r>
    </w:p>
    <w:p w14:paraId="254B0FDA" w14:textId="77777777" w:rsidR="00AD5302" w:rsidRDefault="00AD5302" w:rsidP="00E22B98">
      <w:pPr>
        <w:spacing w:line="276" w:lineRule="auto"/>
      </w:pPr>
    </w:p>
    <w:p w14:paraId="4BABEDD8" w14:textId="5F1B1875" w:rsidR="00AD5302" w:rsidRPr="00AD5302" w:rsidRDefault="00AD5302" w:rsidP="00BC7979">
      <w:pPr>
        <w:spacing w:line="276" w:lineRule="auto"/>
        <w:ind w:firstLine="720"/>
        <w:rPr>
          <w:u w:val="single"/>
        </w:rPr>
      </w:pPr>
      <w:r w:rsidRPr="00AD5302">
        <w:rPr>
          <w:u w:val="single"/>
        </w:rPr>
        <w:t>Operation and Maintenance</w:t>
      </w:r>
      <w:r>
        <w:rPr>
          <w:u w:val="single"/>
        </w:rPr>
        <w:t xml:space="preserve"> (O&amp;M)</w:t>
      </w:r>
      <w:r w:rsidRPr="00AD5302">
        <w:rPr>
          <w:u w:val="single"/>
        </w:rPr>
        <w:t xml:space="preserve"> Cost</w:t>
      </w:r>
      <w:r>
        <w:rPr>
          <w:u w:val="single"/>
        </w:rPr>
        <w:t>s:</w:t>
      </w:r>
    </w:p>
    <w:p w14:paraId="318D7076" w14:textId="28D396A2" w:rsidR="00BC7979" w:rsidRDefault="00BC7979" w:rsidP="00BC7979">
      <w:pPr>
        <w:spacing w:line="276" w:lineRule="auto"/>
        <w:ind w:firstLine="720"/>
      </w:pPr>
      <w:r>
        <w:t xml:space="preserve">O&amp;M Costs in </w:t>
      </w:r>
      <w:r w:rsidR="00A23F3E">
        <w:t>Y0</w:t>
      </w:r>
    </w:p>
    <w:p w14:paraId="1A202E38" w14:textId="77777777" w:rsidR="00BC7979" w:rsidRDefault="00BC7979" w:rsidP="00BC7979">
      <w:pPr>
        <w:spacing w:line="276" w:lineRule="auto"/>
        <w:ind w:left="144" w:firstLine="720"/>
      </w:pPr>
      <w:r>
        <w:t>Units: $ (million)</w:t>
      </w:r>
    </w:p>
    <w:p w14:paraId="5F99DB88" w14:textId="77777777" w:rsidR="00BC7979" w:rsidRDefault="00BC7979" w:rsidP="00BC7979">
      <w:pPr>
        <w:spacing w:line="276" w:lineRule="auto"/>
        <w:ind w:left="144" w:firstLine="720"/>
      </w:pPr>
      <w:r>
        <w:t>Description:</w:t>
      </w:r>
    </w:p>
    <w:p w14:paraId="2C87CB4C" w14:textId="4B4C4C02" w:rsidR="00BC7979" w:rsidRDefault="00BC7979" w:rsidP="00BC7979">
      <w:pPr>
        <w:spacing w:line="276" w:lineRule="auto"/>
        <w:ind w:left="1440"/>
      </w:pPr>
      <w:r>
        <w:t xml:space="preserve">This input is asking for the annual expenditures on </w:t>
      </w:r>
      <w:r w:rsidR="00A23F3E">
        <w:t xml:space="preserve">fixed </w:t>
      </w:r>
      <w:r>
        <w:t xml:space="preserve">O&amp;M in </w:t>
      </w:r>
      <w:r w:rsidR="00A23F3E">
        <w:t>year z</w:t>
      </w:r>
      <w:r>
        <w:t>ero</w:t>
      </w:r>
      <w:r w:rsidR="00A23F3E">
        <w:t>.</w:t>
      </w:r>
      <w:r>
        <w:t xml:space="preserve"> </w:t>
      </w:r>
      <w:r w:rsidR="00A23F3E">
        <w:t xml:space="preserve"> This includes only fixed O&amp;M. Any variable O&amp;M reported by the utility should be included in the costs of production input above.</w:t>
      </w:r>
      <w:r w:rsidR="00435D1F">
        <w:t xml:space="preserve"> </w:t>
      </w:r>
    </w:p>
    <w:p w14:paraId="708EE2BF" w14:textId="77777777" w:rsidR="00BC7979" w:rsidRDefault="00BC7979" w:rsidP="00BC7979">
      <w:pPr>
        <w:spacing w:line="276" w:lineRule="auto"/>
        <w:ind w:left="870"/>
      </w:pPr>
      <w:r>
        <w:t>Example Calculation:</w:t>
      </w:r>
    </w:p>
    <w:p w14:paraId="349DA5CF" w14:textId="77777777" w:rsidR="00BC7979" w:rsidRDefault="00BC7979" w:rsidP="00BC7979">
      <w:pPr>
        <w:spacing w:line="276" w:lineRule="auto"/>
        <w:ind w:left="1440"/>
      </w:pPr>
      <w:r>
        <w:t>This input may require summing relevant categories, such as “plant maintenance”, “transmission maintenance”, and “billing operations.” The O&amp;M costs may not be reported as one category in the source documents.</w:t>
      </w:r>
    </w:p>
    <w:p w14:paraId="1EEEC9BF" w14:textId="77777777" w:rsidR="00BC7979" w:rsidRDefault="00BC7979" w:rsidP="00BC7979">
      <w:pPr>
        <w:spacing w:line="276" w:lineRule="auto"/>
        <w:ind w:left="1440" w:hanging="540"/>
      </w:pPr>
      <w:r>
        <w:t>Source:</w:t>
      </w:r>
    </w:p>
    <w:p w14:paraId="49BE6C2B" w14:textId="77777777" w:rsidR="00BC7979" w:rsidRDefault="00BC7979" w:rsidP="00BC7979">
      <w:pPr>
        <w:spacing w:line="276" w:lineRule="auto"/>
        <w:ind w:left="1440"/>
      </w:pPr>
      <w:r>
        <w:t xml:space="preserve">Usually listed as a line item in PSC filings and </w:t>
      </w:r>
      <w:hyperlink r:id="rId67" w:history="1">
        <w:r w:rsidR="00E0055D">
          <w:rPr>
            <w:rStyle w:val="Hyperlink"/>
          </w:rPr>
          <w:t>SEC</w:t>
        </w:r>
      </w:hyperlink>
      <w:hyperlink r:id="rId68" w:history="1">
        <w:r w:rsidR="00E0055D">
          <w:rPr>
            <w:rStyle w:val="Hyperlink"/>
          </w:rPr>
          <w:t xml:space="preserve"> 10-K</w:t>
        </w:r>
      </w:hyperlink>
      <w:r>
        <w:t>.</w:t>
      </w:r>
    </w:p>
    <w:p w14:paraId="294887E9" w14:textId="77777777" w:rsidR="00BC7979" w:rsidRDefault="00BC7979" w:rsidP="00BC7979">
      <w:pPr>
        <w:spacing w:line="276" w:lineRule="auto"/>
        <w:ind w:left="1440"/>
      </w:pPr>
    </w:p>
    <w:p w14:paraId="7DF91EE1" w14:textId="77777777" w:rsidR="00D81094" w:rsidRDefault="00D81094" w:rsidP="00BC7979">
      <w:pPr>
        <w:spacing w:line="276" w:lineRule="auto"/>
        <w:ind w:left="1440"/>
      </w:pPr>
    </w:p>
    <w:p w14:paraId="5E92CAC3" w14:textId="77777777" w:rsidR="00BC7979" w:rsidRDefault="00BC7979" w:rsidP="00BC7979">
      <w:pPr>
        <w:spacing w:line="276" w:lineRule="auto"/>
        <w:ind w:firstLine="720"/>
      </w:pPr>
      <w:r>
        <w:t>Annual Escalation Rate for O&amp;M Costs</w:t>
      </w:r>
    </w:p>
    <w:p w14:paraId="407981DE" w14:textId="77777777" w:rsidR="00BC7979" w:rsidRDefault="00BC7979" w:rsidP="00BC7979">
      <w:pPr>
        <w:spacing w:line="276" w:lineRule="auto"/>
        <w:ind w:left="144" w:firstLine="720"/>
      </w:pPr>
      <w:r>
        <w:t>Units: percentage</w:t>
      </w:r>
    </w:p>
    <w:p w14:paraId="1077F220" w14:textId="77777777" w:rsidR="00BC7979" w:rsidRDefault="00BC7979" w:rsidP="00BC7979">
      <w:pPr>
        <w:spacing w:line="276" w:lineRule="auto"/>
        <w:ind w:left="144" w:firstLine="720"/>
      </w:pPr>
      <w:r>
        <w:t>Description:</w:t>
      </w:r>
    </w:p>
    <w:p w14:paraId="64906C3F" w14:textId="0BBB8E93" w:rsidR="00BC7979" w:rsidRDefault="00BC7979" w:rsidP="00BC7979">
      <w:pPr>
        <w:spacing w:line="276" w:lineRule="auto"/>
        <w:ind w:left="1440"/>
      </w:pPr>
      <w:r>
        <w:t>This input is asking for the rate at which O&amp;M expenditures are expected to increase in each year.</w:t>
      </w:r>
      <w:r w:rsidR="000B41FD">
        <w:t xml:space="preserve"> </w:t>
      </w:r>
    </w:p>
    <w:p w14:paraId="139596B0" w14:textId="77777777" w:rsidR="00BC7979" w:rsidRDefault="00BC7979" w:rsidP="00BC7979">
      <w:pPr>
        <w:spacing w:line="276" w:lineRule="auto"/>
        <w:ind w:left="870"/>
      </w:pPr>
      <w:r>
        <w:t>Example Calculation:</w:t>
      </w:r>
    </w:p>
    <w:p w14:paraId="6CC2A3B1" w14:textId="0BA808FF" w:rsidR="00BC7979" w:rsidRDefault="00BC7979" w:rsidP="00BC7979">
      <w:pPr>
        <w:spacing w:line="276" w:lineRule="auto"/>
        <w:ind w:left="1440"/>
      </w:pPr>
      <w:r>
        <w:t xml:space="preserve">This input can be taken directly from public service commission documents, where provided. Alternatively, users may estimate the historic rate of change in O&amp;M costs from an appropriate time series of values. </w:t>
      </w:r>
    </w:p>
    <w:p w14:paraId="020EC1A1" w14:textId="77777777" w:rsidR="00BC7979" w:rsidRDefault="00BC7979" w:rsidP="00BC7979">
      <w:pPr>
        <w:spacing w:line="276" w:lineRule="auto"/>
        <w:ind w:left="1440" w:hanging="540"/>
      </w:pPr>
      <w:r>
        <w:t>Source:</w:t>
      </w:r>
    </w:p>
    <w:p w14:paraId="0B26E893" w14:textId="486DE5F8" w:rsidR="00BC7979" w:rsidRDefault="00BC7979" w:rsidP="00BC7979">
      <w:pPr>
        <w:spacing w:line="276" w:lineRule="auto"/>
        <w:ind w:left="1440"/>
      </w:pPr>
      <w:r>
        <w:t xml:space="preserve">PSC filings; </w:t>
      </w:r>
      <w:hyperlink r:id="rId69" w:history="1">
        <w:r w:rsidR="00E0055D">
          <w:rPr>
            <w:rStyle w:val="Hyperlink"/>
          </w:rPr>
          <w:t>SEC</w:t>
        </w:r>
      </w:hyperlink>
      <w:hyperlink r:id="rId70" w:history="1">
        <w:r w:rsidR="00E0055D">
          <w:rPr>
            <w:rStyle w:val="Hyperlink"/>
          </w:rPr>
          <w:t xml:space="preserve"> 10-K</w:t>
        </w:r>
      </w:hyperlink>
      <w:r>
        <w:t>.</w:t>
      </w:r>
    </w:p>
    <w:p w14:paraId="2D8624C2" w14:textId="77777777" w:rsidR="00AD5302" w:rsidRDefault="00AD5302" w:rsidP="00BC7979">
      <w:pPr>
        <w:spacing w:line="276" w:lineRule="auto"/>
        <w:ind w:left="1440"/>
      </w:pPr>
    </w:p>
    <w:p w14:paraId="0E3D01AB" w14:textId="5575B2C5" w:rsidR="00AD5302" w:rsidRPr="00AD5302" w:rsidRDefault="00AD5302" w:rsidP="00BC7979">
      <w:pPr>
        <w:spacing w:line="276" w:lineRule="auto"/>
        <w:ind w:firstLine="720"/>
        <w:rPr>
          <w:u w:val="single"/>
        </w:rPr>
      </w:pPr>
      <w:r w:rsidRPr="00AD5302">
        <w:rPr>
          <w:u w:val="single"/>
        </w:rPr>
        <w:t>Taxation:</w:t>
      </w:r>
    </w:p>
    <w:p w14:paraId="72D03872" w14:textId="77777777" w:rsidR="00BC7979" w:rsidRDefault="00BC7979" w:rsidP="00BC7979">
      <w:pPr>
        <w:spacing w:line="276" w:lineRule="auto"/>
        <w:ind w:firstLine="720"/>
      </w:pPr>
      <w:r>
        <w:t>Effective Income Tax Rate</w:t>
      </w:r>
    </w:p>
    <w:p w14:paraId="39125CD5" w14:textId="77777777" w:rsidR="00BC7979" w:rsidRDefault="00BC7979" w:rsidP="00BC7979">
      <w:pPr>
        <w:spacing w:line="276" w:lineRule="auto"/>
        <w:ind w:left="144" w:firstLine="720"/>
      </w:pPr>
      <w:r>
        <w:t>Units: percentage</w:t>
      </w:r>
    </w:p>
    <w:p w14:paraId="1080351E" w14:textId="77777777" w:rsidR="00BC7979" w:rsidRDefault="00BC7979" w:rsidP="00BC7979">
      <w:pPr>
        <w:spacing w:line="276" w:lineRule="auto"/>
        <w:ind w:left="144" w:firstLine="720"/>
      </w:pPr>
      <w:r>
        <w:t>Description:</w:t>
      </w:r>
    </w:p>
    <w:p w14:paraId="21827C4B" w14:textId="3B1C31F0" w:rsidR="00BC7979" w:rsidRDefault="00BC7979" w:rsidP="00BC7979">
      <w:pPr>
        <w:spacing w:line="276" w:lineRule="auto"/>
        <w:ind w:left="1440"/>
      </w:pPr>
      <w:r>
        <w:t xml:space="preserve">This input is asking for the percent of annual earnings that is paid out in taxes to the federal and </w:t>
      </w:r>
      <w:r w:rsidR="00451A90">
        <w:t>state</w:t>
      </w:r>
      <w:r>
        <w:t xml:space="preserve"> governments. </w:t>
      </w:r>
    </w:p>
    <w:p w14:paraId="2BCA3C3D" w14:textId="0BEBF793" w:rsidR="00BC7979" w:rsidRDefault="00BC7979" w:rsidP="00E22B98">
      <w:pPr>
        <w:spacing w:line="276" w:lineRule="auto"/>
        <w:ind w:left="1440" w:hanging="540"/>
      </w:pPr>
      <w:r>
        <w:t>Source:</w:t>
      </w:r>
      <w:r w:rsidR="00F96935">
        <w:t xml:space="preserve"> </w:t>
      </w:r>
      <w:r w:rsidR="00F96935">
        <w:rPr>
          <w:rStyle w:val="Hyperlink"/>
        </w:rPr>
        <w:t>PSC filings or</w:t>
      </w:r>
      <w:r w:rsidR="00F96935">
        <w:t xml:space="preserve"> </w:t>
      </w:r>
      <w:hyperlink r:id="rId71" w:history="1">
        <w:r w:rsidR="00E0055D">
          <w:rPr>
            <w:rStyle w:val="Hyperlink"/>
          </w:rPr>
          <w:t>SEC</w:t>
        </w:r>
      </w:hyperlink>
      <w:hyperlink r:id="rId72" w:history="1">
        <w:r w:rsidR="00E0055D">
          <w:rPr>
            <w:rStyle w:val="Hyperlink"/>
          </w:rPr>
          <w:t xml:space="preserve"> 10-K</w:t>
        </w:r>
      </w:hyperlink>
      <w:r>
        <w:t>.</w:t>
      </w:r>
    </w:p>
    <w:p w14:paraId="1F580B81" w14:textId="77777777" w:rsidR="00AD5302" w:rsidRDefault="00AD5302" w:rsidP="00BC7979">
      <w:pPr>
        <w:spacing w:line="276" w:lineRule="auto"/>
        <w:ind w:left="1440"/>
      </w:pPr>
    </w:p>
    <w:p w14:paraId="0FBE28D6" w14:textId="0D314C79" w:rsidR="00AD5302" w:rsidRPr="00AD5302" w:rsidRDefault="00AD5302" w:rsidP="00BC7979">
      <w:pPr>
        <w:spacing w:line="276" w:lineRule="auto"/>
        <w:ind w:firstLine="720"/>
        <w:rPr>
          <w:u w:val="single"/>
        </w:rPr>
      </w:pPr>
      <w:r w:rsidRPr="00AD5302">
        <w:rPr>
          <w:u w:val="single"/>
        </w:rPr>
        <w:t>Depreciation:</w:t>
      </w:r>
    </w:p>
    <w:p w14:paraId="22A45EC0" w14:textId="77777777" w:rsidR="00BC7979" w:rsidRDefault="00BC7979" w:rsidP="00BC7979">
      <w:pPr>
        <w:spacing w:line="276" w:lineRule="auto"/>
        <w:ind w:firstLine="720"/>
      </w:pPr>
      <w:r>
        <w:t>Book Asset Depreciation Rate</w:t>
      </w:r>
    </w:p>
    <w:p w14:paraId="16D39F01" w14:textId="77777777" w:rsidR="00BC7979" w:rsidRDefault="00BC7979" w:rsidP="00BC7979">
      <w:pPr>
        <w:spacing w:line="276" w:lineRule="auto"/>
        <w:ind w:left="144" w:firstLine="720"/>
      </w:pPr>
      <w:r>
        <w:t>Units: percentage</w:t>
      </w:r>
    </w:p>
    <w:p w14:paraId="4F87A621" w14:textId="77777777" w:rsidR="00BC7979" w:rsidRDefault="00BC7979" w:rsidP="00BC7979">
      <w:pPr>
        <w:spacing w:line="276" w:lineRule="auto"/>
        <w:ind w:left="144" w:firstLine="720"/>
      </w:pPr>
      <w:r>
        <w:t>Description:</w:t>
      </w:r>
    </w:p>
    <w:p w14:paraId="21FD25BE" w14:textId="77777777" w:rsidR="00BC7979" w:rsidRDefault="00BC7979" w:rsidP="00BC7979">
      <w:pPr>
        <w:spacing w:line="276" w:lineRule="auto"/>
        <w:ind w:left="1440"/>
      </w:pPr>
      <w:r>
        <w:t>This input is asking for the percent by which assets are depreciated on the utility firm’s balance sheet, i.e. “on the books.”</w:t>
      </w:r>
    </w:p>
    <w:p w14:paraId="48871CF1" w14:textId="1A63C8E5" w:rsidR="00BC7979" w:rsidRDefault="00BC7979" w:rsidP="00E22B98">
      <w:pPr>
        <w:spacing w:line="276" w:lineRule="auto"/>
        <w:ind w:left="1440" w:hanging="540"/>
      </w:pPr>
      <w:r>
        <w:t>Source:</w:t>
      </w:r>
      <w:r w:rsidR="00F96935">
        <w:t xml:space="preserve"> </w:t>
      </w:r>
      <w:hyperlink r:id="rId73" w:history="1">
        <w:r w:rsidR="00E0055D">
          <w:rPr>
            <w:rStyle w:val="Hyperlink"/>
          </w:rPr>
          <w:t>SEC</w:t>
        </w:r>
      </w:hyperlink>
      <w:hyperlink r:id="rId74" w:history="1">
        <w:r w:rsidR="00E0055D">
          <w:rPr>
            <w:rStyle w:val="Hyperlink"/>
          </w:rPr>
          <w:t xml:space="preserve"> 10-K</w:t>
        </w:r>
      </w:hyperlink>
      <w:r w:rsidR="00F96935">
        <w:rPr>
          <w:rStyle w:val="Hyperlink"/>
        </w:rPr>
        <w:t xml:space="preserve"> or PSC filings</w:t>
      </w:r>
      <w:r>
        <w:t>.</w:t>
      </w:r>
    </w:p>
    <w:p w14:paraId="026E2CFC" w14:textId="77777777" w:rsidR="00BC7979" w:rsidRDefault="00BC7979" w:rsidP="00BC7979">
      <w:pPr>
        <w:spacing w:line="276" w:lineRule="auto"/>
        <w:ind w:left="1440" w:hanging="540"/>
      </w:pPr>
    </w:p>
    <w:p w14:paraId="57C07472" w14:textId="77777777" w:rsidR="00BC7979" w:rsidRDefault="00BC7979" w:rsidP="00BC7979">
      <w:pPr>
        <w:pStyle w:val="Heading3"/>
        <w:spacing w:line="276" w:lineRule="auto"/>
      </w:pPr>
      <w:bookmarkStart w:id="31" w:name="_Toc278464903"/>
      <w:r>
        <w:t>Performance Incentive Sub-Module</w:t>
      </w:r>
      <w:bookmarkEnd w:id="31"/>
    </w:p>
    <w:p w14:paraId="6F8E3D82" w14:textId="72538728" w:rsidR="00BC7979" w:rsidRDefault="00BC7979" w:rsidP="00BC7979">
      <w:pPr>
        <w:pStyle w:val="BodyText"/>
        <w:spacing w:line="276" w:lineRule="auto"/>
      </w:pPr>
      <w:r>
        <w:t>The Performance Incentive Module is intended to capture additional impacts from common forms of incentive programs offered by Public Service Commissions to utility firms. Performance incentive programs provide additional revenues to the utility as a reward for engaging in DSM programs.</w:t>
      </w:r>
      <w:r w:rsidR="00B86D82">
        <w:t xml:space="preserve"> The types of performance incentive programs </w:t>
      </w:r>
      <w:r w:rsidR="00F554D9">
        <w:t xml:space="preserve">modeled by this sub-module </w:t>
      </w:r>
      <w:r w:rsidR="00B86D82">
        <w:t>are styled after descriptions in the National Action Plan on Energy Efficiency</w:t>
      </w:r>
      <w:r w:rsidR="00F554D9">
        <w:t xml:space="preserve">’s “Aligning Utility Incentives with Investment in Energy Efficiency,” published by the EPA and available at </w:t>
      </w:r>
      <w:hyperlink r:id="rId75" w:history="1">
        <w:r w:rsidR="001514BE" w:rsidRPr="00FA36B0">
          <w:rPr>
            <w:rStyle w:val="Hyperlink"/>
          </w:rPr>
          <w:t>http://www.epa.gov/cleanenergy/energy-programs/suca/resources.html</w:t>
        </w:r>
      </w:hyperlink>
    </w:p>
    <w:p w14:paraId="3EDA96DE" w14:textId="3B604DB1" w:rsidR="00BC7979" w:rsidRDefault="00AD5302" w:rsidP="00BC7979">
      <w:pPr>
        <w:pStyle w:val="BodyText"/>
        <w:spacing w:line="276" w:lineRule="auto"/>
        <w:jc w:val="center"/>
      </w:pPr>
      <w:r>
        <w:rPr>
          <w:noProof/>
          <w:lang w:eastAsia="en-US"/>
        </w:rPr>
        <w:drawing>
          <wp:inline distT="0" distB="0" distL="0" distR="0" wp14:anchorId="28CCB487" wp14:editId="6D13C638">
            <wp:extent cx="3710465" cy="2476500"/>
            <wp:effectExtent l="0" t="0" r="0" b="0"/>
            <wp:docPr id="45" name="Picture 45" descr="Macintosh HD:Users:Ben:Desktop:Screen Shot 2014-10-31 at 1.2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Desktop:Screen Shot 2014-10-31 at 1.28.49 P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0465" cy="2476500"/>
                    </a:xfrm>
                    <a:prstGeom prst="rect">
                      <a:avLst/>
                    </a:prstGeom>
                    <a:noFill/>
                    <a:ln>
                      <a:noFill/>
                    </a:ln>
                  </pic:spPr>
                </pic:pic>
              </a:graphicData>
            </a:graphic>
          </wp:inline>
        </w:drawing>
      </w:r>
    </w:p>
    <w:p w14:paraId="36FE29DC" w14:textId="77777777" w:rsidR="00ED71B2" w:rsidRDefault="00ED71B2" w:rsidP="00BC7979">
      <w:pPr>
        <w:spacing w:line="276" w:lineRule="auto"/>
        <w:ind w:firstLine="720"/>
      </w:pPr>
    </w:p>
    <w:p w14:paraId="2AA84729" w14:textId="14BEAA44" w:rsidR="00AD5302" w:rsidRPr="00AD5302" w:rsidRDefault="00AD5302" w:rsidP="00BC7979">
      <w:pPr>
        <w:spacing w:line="276" w:lineRule="auto"/>
        <w:ind w:firstLine="720"/>
        <w:rPr>
          <w:u w:val="single"/>
        </w:rPr>
      </w:pPr>
      <w:r w:rsidRPr="00AD5302">
        <w:rPr>
          <w:u w:val="single"/>
        </w:rPr>
        <w:t>Incentive:</w:t>
      </w:r>
    </w:p>
    <w:p w14:paraId="24FDAC12" w14:textId="77777777" w:rsidR="00AD5302" w:rsidRDefault="00AD5302" w:rsidP="00AD5302">
      <w:pPr>
        <w:spacing w:line="276" w:lineRule="auto"/>
        <w:ind w:left="144" w:firstLine="720"/>
      </w:pPr>
      <w:r>
        <w:t>Units: Boolean</w:t>
      </w:r>
    </w:p>
    <w:p w14:paraId="32BEEE61" w14:textId="77777777" w:rsidR="00AD5302" w:rsidRDefault="00AD5302" w:rsidP="00AD5302">
      <w:pPr>
        <w:spacing w:line="276" w:lineRule="auto"/>
        <w:ind w:left="144" w:firstLine="720"/>
      </w:pPr>
      <w:r>
        <w:t>Description:</w:t>
      </w:r>
    </w:p>
    <w:p w14:paraId="61CBCFC9" w14:textId="25E09694" w:rsidR="00AD5302" w:rsidRDefault="00AD5302" w:rsidP="00AD5302">
      <w:pPr>
        <w:spacing w:line="276" w:lineRule="auto"/>
        <w:ind w:left="1440"/>
      </w:pPr>
      <w:r>
        <w:t>This input is asking whether or not the utility is offered a</w:t>
      </w:r>
      <w:r w:rsidR="00271FC8">
        <w:t>n Incentive</w:t>
      </w:r>
      <w:r>
        <w:t xml:space="preserve"> for </w:t>
      </w:r>
      <w:r w:rsidR="00271FC8">
        <w:t>its DSM program. This is</w:t>
      </w:r>
      <w:r>
        <w:t xml:space="preserve"> additional money that is awarded as a percentage of </w:t>
      </w:r>
      <w:r w:rsidR="00271FC8">
        <w:t xml:space="preserve">a CBA test or </w:t>
      </w:r>
      <w:r>
        <w:t>the costs of the DSM program.</w:t>
      </w:r>
    </w:p>
    <w:p w14:paraId="62EF35F9" w14:textId="77777777" w:rsidR="00AD5302" w:rsidRDefault="00AD5302" w:rsidP="00AD5302">
      <w:pPr>
        <w:spacing w:line="276" w:lineRule="auto"/>
        <w:ind w:left="1440" w:hanging="540"/>
      </w:pPr>
      <w:r>
        <w:t>Source:</w:t>
      </w:r>
    </w:p>
    <w:p w14:paraId="0DF67723" w14:textId="22F3C36B" w:rsidR="00AD5302" w:rsidRDefault="00AD5302" w:rsidP="00AD5302">
      <w:pPr>
        <w:spacing w:line="276" w:lineRule="auto"/>
        <w:ind w:left="1440"/>
      </w:pPr>
      <w:r>
        <w:t>This value is determined by whether or not the public service commission plans to offer such an incentive to the utility, or whether the user is interested in testing such incentives with the model in order to observe the effects</w:t>
      </w:r>
      <w:r w:rsidR="00271FC8">
        <w:t xml:space="preserve"> upon utility earnings and ROE.</w:t>
      </w:r>
    </w:p>
    <w:p w14:paraId="232E08BC" w14:textId="77777777" w:rsidR="00271FC8" w:rsidRDefault="00271FC8" w:rsidP="00271FC8">
      <w:pPr>
        <w:spacing w:line="276" w:lineRule="auto"/>
        <w:ind w:firstLine="720"/>
      </w:pPr>
    </w:p>
    <w:p w14:paraId="3811D1F7" w14:textId="6CD4E05B" w:rsidR="00271FC8" w:rsidRDefault="00271FC8" w:rsidP="00271FC8">
      <w:pPr>
        <w:spacing w:line="276" w:lineRule="auto"/>
        <w:ind w:firstLine="720"/>
      </w:pPr>
      <w:r>
        <w:t>Incentive Basis</w:t>
      </w:r>
    </w:p>
    <w:p w14:paraId="1EB0B704" w14:textId="1675858E" w:rsidR="00271FC8" w:rsidRDefault="00271FC8" w:rsidP="00271FC8">
      <w:pPr>
        <w:spacing w:line="276" w:lineRule="auto"/>
        <w:ind w:left="144" w:firstLine="720"/>
      </w:pPr>
      <w:r>
        <w:t xml:space="preserve">Units: </w:t>
      </w:r>
      <w:r w:rsidR="00AE12FB">
        <w:t>Drop-down menu selection</w:t>
      </w:r>
    </w:p>
    <w:p w14:paraId="7C69D676" w14:textId="77777777" w:rsidR="00271FC8" w:rsidRDefault="00271FC8" w:rsidP="00271FC8">
      <w:pPr>
        <w:spacing w:line="276" w:lineRule="auto"/>
        <w:ind w:left="144" w:firstLine="720"/>
      </w:pPr>
      <w:r>
        <w:t>Description:</w:t>
      </w:r>
    </w:p>
    <w:p w14:paraId="03556E0C" w14:textId="2F5F1E4C" w:rsidR="00271FC8" w:rsidRDefault="00271FC8" w:rsidP="00271FC8">
      <w:pPr>
        <w:spacing w:line="276" w:lineRule="auto"/>
        <w:ind w:left="1440"/>
      </w:pPr>
      <w:r>
        <w:t xml:space="preserve">This input is asking for what the incentive given to the utility will be based on. These can be selected from a dropdown list and are the four CBA tests and program costs. This variable in then used, together with the Percent of Incentive Basis Returned to the Utility (see below), to calculate the incentive collected by the utility, subject to the Incentive Limits (see input section below), which is then collected over all sales. </w:t>
      </w:r>
    </w:p>
    <w:p w14:paraId="7F6B7B87" w14:textId="77777777" w:rsidR="00271FC8" w:rsidRDefault="00271FC8" w:rsidP="00271FC8">
      <w:pPr>
        <w:spacing w:line="276" w:lineRule="auto"/>
        <w:ind w:left="1440" w:hanging="540"/>
      </w:pPr>
      <w:r>
        <w:t>Source:</w:t>
      </w:r>
    </w:p>
    <w:p w14:paraId="596EDA96" w14:textId="4548F4DA" w:rsidR="00271FC8" w:rsidRDefault="00271FC8" w:rsidP="00271FC8">
      <w:pPr>
        <w:spacing w:line="276" w:lineRule="auto"/>
        <w:ind w:left="1440"/>
      </w:pPr>
      <w:r>
        <w:t>This value can be taken from public service commission documents, if the utility already receives an incentive. Alternatively, various bases for incentives can be tested to observe their effects upon the utility.</w:t>
      </w:r>
    </w:p>
    <w:p w14:paraId="33FD77AB" w14:textId="77777777" w:rsidR="00271FC8" w:rsidRDefault="00271FC8" w:rsidP="00AD5302">
      <w:pPr>
        <w:spacing w:line="276" w:lineRule="auto"/>
        <w:ind w:firstLine="720"/>
      </w:pPr>
    </w:p>
    <w:p w14:paraId="72120BE6" w14:textId="4FE510B9" w:rsidR="00AD5302" w:rsidRDefault="00AD5302" w:rsidP="00AD5302">
      <w:pPr>
        <w:spacing w:line="276" w:lineRule="auto"/>
        <w:ind w:firstLine="720"/>
      </w:pPr>
      <w:r>
        <w:t>Percent of Incentive Basis Returned to the Utility</w:t>
      </w:r>
    </w:p>
    <w:p w14:paraId="395F5FFB" w14:textId="77777777" w:rsidR="00AD5302" w:rsidRDefault="00AD5302" w:rsidP="00AD5302">
      <w:pPr>
        <w:spacing w:line="276" w:lineRule="auto"/>
        <w:ind w:left="144" w:firstLine="720"/>
      </w:pPr>
      <w:r>
        <w:t>Units: Percentage</w:t>
      </w:r>
    </w:p>
    <w:p w14:paraId="1AF1E98A" w14:textId="77777777" w:rsidR="00AD5302" w:rsidRDefault="00AD5302" w:rsidP="00AD5302">
      <w:pPr>
        <w:spacing w:line="276" w:lineRule="auto"/>
        <w:ind w:left="144" w:firstLine="720"/>
      </w:pPr>
      <w:r>
        <w:t>Description:</w:t>
      </w:r>
    </w:p>
    <w:p w14:paraId="4D99264D" w14:textId="6F1A2611" w:rsidR="00AD5302" w:rsidRDefault="00AD5302" w:rsidP="00AD5302">
      <w:pPr>
        <w:spacing w:line="276" w:lineRule="auto"/>
        <w:ind w:left="1440"/>
      </w:pPr>
      <w:r>
        <w:t>This input is asking for what percentage of the Incentive Basis (see above input) the utility will receive, subject to the Incentive Limits (see input section below)</w:t>
      </w:r>
      <w:r w:rsidR="00271FC8">
        <w:t>, which is then collected over all sales.</w:t>
      </w:r>
    </w:p>
    <w:p w14:paraId="075F49A5" w14:textId="77777777" w:rsidR="00AD5302" w:rsidRDefault="00AD5302" w:rsidP="00AD5302">
      <w:pPr>
        <w:spacing w:line="276" w:lineRule="auto"/>
        <w:ind w:left="1440" w:hanging="540"/>
      </w:pPr>
      <w:r>
        <w:t>Source:</w:t>
      </w:r>
    </w:p>
    <w:p w14:paraId="6D98E11B" w14:textId="1AE631CE" w:rsidR="00AD5302" w:rsidRDefault="00AD5302" w:rsidP="00AD5302">
      <w:pPr>
        <w:spacing w:line="276" w:lineRule="auto"/>
        <w:ind w:left="1440"/>
      </w:pPr>
      <w:r>
        <w:t xml:space="preserve">This value can be taken from public service commission documents, if the utility already receives an incentive. Alternatively, various percentages can be tested to observe the effects of an incentive upon </w:t>
      </w:r>
      <w:r w:rsidR="00271FC8">
        <w:t>the utility</w:t>
      </w:r>
      <w:r>
        <w:t>.</w:t>
      </w:r>
    </w:p>
    <w:p w14:paraId="2E6B6D3D" w14:textId="77777777" w:rsidR="00AD5302" w:rsidRDefault="00AD5302" w:rsidP="00BC7979">
      <w:pPr>
        <w:spacing w:line="276" w:lineRule="auto"/>
        <w:ind w:firstLine="720"/>
      </w:pPr>
    </w:p>
    <w:p w14:paraId="3E4F0368" w14:textId="28E32E14" w:rsidR="00AD5302" w:rsidRPr="00AD5302" w:rsidRDefault="00AD5302" w:rsidP="00BC7979">
      <w:pPr>
        <w:spacing w:line="276" w:lineRule="auto"/>
        <w:ind w:firstLine="720"/>
        <w:rPr>
          <w:u w:val="single"/>
        </w:rPr>
      </w:pPr>
      <w:r w:rsidRPr="00AD5302">
        <w:rPr>
          <w:u w:val="single"/>
        </w:rPr>
        <w:t>Incentive Limits:</w:t>
      </w:r>
    </w:p>
    <w:p w14:paraId="7842772F" w14:textId="59519B7B" w:rsidR="00AD5302" w:rsidRPr="00727B2C" w:rsidRDefault="00727B2C" w:rsidP="00BC7979">
      <w:pPr>
        <w:spacing w:line="276" w:lineRule="auto"/>
        <w:ind w:firstLine="720"/>
        <w:rPr>
          <w:i/>
        </w:rPr>
      </w:pPr>
      <w:r w:rsidRPr="00727B2C">
        <w:rPr>
          <w:i/>
        </w:rPr>
        <w:t>Incentive Cap</w:t>
      </w:r>
    </w:p>
    <w:p w14:paraId="20161056" w14:textId="77777777" w:rsidR="00E10735" w:rsidRDefault="00E10735" w:rsidP="00E10735">
      <w:pPr>
        <w:spacing w:line="276" w:lineRule="auto"/>
        <w:ind w:left="144" w:firstLine="720"/>
      </w:pPr>
      <w:r>
        <w:t>Units: Boolean</w:t>
      </w:r>
    </w:p>
    <w:p w14:paraId="097D6A9E" w14:textId="77777777" w:rsidR="00E10735" w:rsidRDefault="00E10735" w:rsidP="00E10735">
      <w:pPr>
        <w:spacing w:line="276" w:lineRule="auto"/>
        <w:ind w:left="144" w:firstLine="720"/>
      </w:pPr>
      <w:r>
        <w:t>Description:</w:t>
      </w:r>
    </w:p>
    <w:p w14:paraId="2B6FEBCB" w14:textId="68F4DC5F" w:rsidR="00E10735" w:rsidRDefault="00E10735" w:rsidP="00E10735">
      <w:pPr>
        <w:spacing w:line="276" w:lineRule="auto"/>
        <w:ind w:left="1440"/>
      </w:pPr>
      <w:r>
        <w:t>This input is asking whether or not the utility’s Incentive is capped. This is based simply on whether the public service commission has authorized a cap on the incentives for a utility or if the user is interested in testing such a cap.</w:t>
      </w:r>
    </w:p>
    <w:p w14:paraId="7FB58DA7" w14:textId="14B70A99" w:rsidR="00E10735" w:rsidRDefault="00E10735" w:rsidP="00E10735">
      <w:pPr>
        <w:spacing w:line="276" w:lineRule="auto"/>
        <w:ind w:left="1440" w:hanging="540"/>
      </w:pPr>
      <w:r>
        <w:t>Source: PSC filings</w:t>
      </w:r>
    </w:p>
    <w:p w14:paraId="2854D3E4" w14:textId="77777777" w:rsidR="00727B2C" w:rsidRDefault="00727B2C" w:rsidP="00BC7979">
      <w:pPr>
        <w:spacing w:line="276" w:lineRule="auto"/>
        <w:ind w:firstLine="720"/>
      </w:pPr>
    </w:p>
    <w:p w14:paraId="2AC6ACBB" w14:textId="1C708225" w:rsidR="00727B2C" w:rsidRDefault="00727B2C" w:rsidP="00BC7979">
      <w:pPr>
        <w:spacing w:line="276" w:lineRule="auto"/>
        <w:ind w:firstLine="720"/>
      </w:pPr>
      <w:r>
        <w:t>Incentive Cap Basis</w:t>
      </w:r>
    </w:p>
    <w:p w14:paraId="4ABDF6C7" w14:textId="77777777" w:rsidR="00AE12FB" w:rsidRDefault="00AE12FB" w:rsidP="00AE12FB">
      <w:pPr>
        <w:spacing w:line="276" w:lineRule="auto"/>
        <w:ind w:left="144" w:firstLine="720"/>
      </w:pPr>
      <w:r>
        <w:t>Units: Drop-down menu selection</w:t>
      </w:r>
    </w:p>
    <w:p w14:paraId="74B10808" w14:textId="77777777" w:rsidR="00AE12FB" w:rsidRDefault="00AE12FB" w:rsidP="00AE12FB">
      <w:pPr>
        <w:spacing w:line="276" w:lineRule="auto"/>
        <w:ind w:left="144" w:firstLine="720"/>
      </w:pPr>
      <w:r>
        <w:t>Description:</w:t>
      </w:r>
    </w:p>
    <w:p w14:paraId="468E0FA5" w14:textId="129C782E" w:rsidR="00AE12FB" w:rsidRDefault="00AE12FB" w:rsidP="00C878A5">
      <w:pPr>
        <w:spacing w:line="276" w:lineRule="auto"/>
        <w:ind w:left="1440"/>
      </w:pPr>
      <w:r>
        <w:t>This input is asking for the basis of the Incentive</w:t>
      </w:r>
      <w:r w:rsidR="008A5714">
        <w:t xml:space="preserve"> Cap</w:t>
      </w:r>
      <w:r>
        <w:t>. This can be selected from a dropdown list and the available options are the four CBA tests and program costs. This variable in then used, together with the Percent of Incentive Cap Basis (see below), to calculate the Incentive Cap.</w:t>
      </w:r>
      <w:r w:rsidR="00C878A5">
        <w:t xml:space="preserve"> This is based simply on what the public service commission has authorized as a basis for an incentive cap for the utility or if the user is interested in testing such a cap. </w:t>
      </w:r>
    </w:p>
    <w:p w14:paraId="033FF855" w14:textId="0F6A093C" w:rsidR="00AE12FB" w:rsidRDefault="00AE12FB" w:rsidP="00C878A5">
      <w:pPr>
        <w:spacing w:line="276" w:lineRule="auto"/>
        <w:ind w:left="1440" w:hanging="540"/>
      </w:pPr>
      <w:r>
        <w:t>Source:</w:t>
      </w:r>
      <w:r w:rsidR="00C878A5">
        <w:t xml:space="preserve"> PSC filings</w:t>
      </w:r>
    </w:p>
    <w:p w14:paraId="22DD3CC1" w14:textId="77777777" w:rsidR="00727B2C" w:rsidRDefault="00727B2C" w:rsidP="00BC7979">
      <w:pPr>
        <w:spacing w:line="276" w:lineRule="auto"/>
        <w:ind w:firstLine="720"/>
      </w:pPr>
    </w:p>
    <w:p w14:paraId="5D531C11" w14:textId="77777777" w:rsidR="00BB7170" w:rsidRDefault="00BB7170">
      <w:pPr>
        <w:suppressAutoHyphens w:val="0"/>
      </w:pPr>
      <w:r>
        <w:br w:type="page"/>
      </w:r>
    </w:p>
    <w:p w14:paraId="233D8A9A" w14:textId="00C9EB43" w:rsidR="00727B2C" w:rsidRDefault="00727B2C" w:rsidP="00BC7979">
      <w:pPr>
        <w:spacing w:line="276" w:lineRule="auto"/>
        <w:ind w:firstLine="720"/>
      </w:pPr>
      <w:r>
        <w:t>Percentage of Incentive Cap Basis</w:t>
      </w:r>
    </w:p>
    <w:p w14:paraId="372F2DF6" w14:textId="77777777" w:rsidR="00C878A5" w:rsidRDefault="00C878A5" w:rsidP="00C878A5">
      <w:pPr>
        <w:spacing w:line="276" w:lineRule="auto"/>
        <w:ind w:left="144" w:firstLine="720"/>
      </w:pPr>
      <w:r>
        <w:t>Units: Percentage</w:t>
      </w:r>
    </w:p>
    <w:p w14:paraId="2803063E" w14:textId="77777777" w:rsidR="00C878A5" w:rsidRDefault="00C878A5" w:rsidP="00C878A5">
      <w:pPr>
        <w:spacing w:line="276" w:lineRule="auto"/>
        <w:ind w:left="144" w:firstLine="720"/>
      </w:pPr>
      <w:r>
        <w:t>Description:</w:t>
      </w:r>
    </w:p>
    <w:p w14:paraId="17134421" w14:textId="0B29EF8B" w:rsidR="00C878A5" w:rsidRDefault="00C878A5" w:rsidP="00C878A5">
      <w:pPr>
        <w:spacing w:line="276" w:lineRule="auto"/>
        <w:ind w:left="1440"/>
      </w:pPr>
      <w:r>
        <w:t>This input is asking for the percentage of the Incentive Cap Basis (see above input) that the utility will be capped based on. This is based on what the public service commission has authorized as a percentage of incentive cap basis for the utility or if the user is interested in testing such a cap.</w:t>
      </w:r>
    </w:p>
    <w:p w14:paraId="23EF49AB" w14:textId="78A7ACB3" w:rsidR="00C878A5" w:rsidRDefault="00C878A5" w:rsidP="00C878A5">
      <w:pPr>
        <w:spacing w:line="276" w:lineRule="auto"/>
        <w:ind w:left="1440" w:hanging="540"/>
      </w:pPr>
      <w:r>
        <w:t>Source: PSC filings</w:t>
      </w:r>
    </w:p>
    <w:p w14:paraId="0AFB0287" w14:textId="77777777" w:rsidR="00727B2C" w:rsidRDefault="00727B2C" w:rsidP="00BC7979">
      <w:pPr>
        <w:spacing w:line="276" w:lineRule="auto"/>
        <w:ind w:firstLine="720"/>
      </w:pPr>
    </w:p>
    <w:p w14:paraId="44E3200B" w14:textId="013F078A" w:rsidR="00727B2C" w:rsidRPr="00727B2C" w:rsidRDefault="00727B2C" w:rsidP="00BC7979">
      <w:pPr>
        <w:spacing w:line="276" w:lineRule="auto"/>
        <w:ind w:firstLine="720"/>
        <w:rPr>
          <w:i/>
        </w:rPr>
      </w:pPr>
      <w:r w:rsidRPr="00727B2C">
        <w:rPr>
          <w:i/>
        </w:rPr>
        <w:t>Performance Threshold for Incentive</w:t>
      </w:r>
    </w:p>
    <w:p w14:paraId="1FB4F21B" w14:textId="77777777" w:rsidR="00E10735" w:rsidRDefault="00E10735" w:rsidP="00E10735">
      <w:pPr>
        <w:spacing w:line="276" w:lineRule="auto"/>
        <w:ind w:left="144" w:firstLine="720"/>
      </w:pPr>
      <w:r>
        <w:t>Units: Boolean</w:t>
      </w:r>
    </w:p>
    <w:p w14:paraId="7BB8C48E" w14:textId="77777777" w:rsidR="00E10735" w:rsidRDefault="00E10735" w:rsidP="00E10735">
      <w:pPr>
        <w:spacing w:line="276" w:lineRule="auto"/>
        <w:ind w:left="144" w:firstLine="720"/>
      </w:pPr>
      <w:r>
        <w:t>Description:</w:t>
      </w:r>
    </w:p>
    <w:p w14:paraId="377967AC" w14:textId="3C6E9281" w:rsidR="00E10735" w:rsidRDefault="00E10735" w:rsidP="00E10735">
      <w:pPr>
        <w:spacing w:line="276" w:lineRule="auto"/>
        <w:ind w:left="1440"/>
      </w:pPr>
      <w:r>
        <w:t xml:space="preserve">This input is asking whether or not the utility’s Incentive has a performance threshold that must be met before receiving their full Incentive. This is based simply on whether the public service commission has authorized a cap on the incentives for a utility or if the user is interested in testing such a </w:t>
      </w:r>
      <w:r w:rsidR="008A5714">
        <w:t>threshold</w:t>
      </w:r>
      <w:r>
        <w:t>.</w:t>
      </w:r>
    </w:p>
    <w:p w14:paraId="28BC5BA7" w14:textId="0E56CCA9" w:rsidR="00E10735" w:rsidRDefault="00E10735" w:rsidP="00E10735">
      <w:pPr>
        <w:spacing w:line="276" w:lineRule="auto"/>
        <w:ind w:left="1440" w:hanging="540"/>
      </w:pPr>
      <w:r>
        <w:t>Source: PSC filings</w:t>
      </w:r>
    </w:p>
    <w:p w14:paraId="1C4AEBA6" w14:textId="77777777" w:rsidR="00727B2C" w:rsidRDefault="00727B2C" w:rsidP="00BC7979">
      <w:pPr>
        <w:spacing w:line="276" w:lineRule="auto"/>
        <w:ind w:firstLine="720"/>
      </w:pPr>
    </w:p>
    <w:p w14:paraId="6A10F081" w14:textId="167F0D24" w:rsidR="00727B2C" w:rsidRDefault="00727B2C" w:rsidP="00BC7979">
      <w:pPr>
        <w:spacing w:line="276" w:lineRule="auto"/>
        <w:ind w:firstLine="720"/>
      </w:pPr>
      <w:r>
        <w:t>Incentive Threshold Basis</w:t>
      </w:r>
    </w:p>
    <w:p w14:paraId="799BC1E8" w14:textId="77777777" w:rsidR="008A5714" w:rsidRDefault="008A5714" w:rsidP="008A5714">
      <w:pPr>
        <w:spacing w:line="276" w:lineRule="auto"/>
        <w:ind w:left="144" w:firstLine="720"/>
      </w:pPr>
      <w:r>
        <w:t>Units: Drop-down menu selection</w:t>
      </w:r>
    </w:p>
    <w:p w14:paraId="676AC83B" w14:textId="77777777" w:rsidR="008A5714" w:rsidRDefault="008A5714" w:rsidP="008A5714">
      <w:pPr>
        <w:spacing w:line="276" w:lineRule="auto"/>
        <w:ind w:left="144" w:firstLine="720"/>
      </w:pPr>
      <w:r>
        <w:t>Description:</w:t>
      </w:r>
    </w:p>
    <w:p w14:paraId="06906F75" w14:textId="64483A55" w:rsidR="008A5714" w:rsidRDefault="008A5714" w:rsidP="008A5714">
      <w:pPr>
        <w:spacing w:line="276" w:lineRule="auto"/>
        <w:ind w:left="1440"/>
      </w:pPr>
      <w:r>
        <w:t xml:space="preserve">This input is asking for the basis of the Incentive threshold. This can be selected from a dropdown list and the available options are electric avoided cost, the program costs, or the TRC, PAC, or PCT CBA tests. This variable in then used, together with the Residential or C/I Threshold (see below), to determine if the program met the expectations in each year. This is based simply on what the public service commission has authorized as a basis for an incentive threshold for the utility or if the user is interested in testing such a threshold. </w:t>
      </w:r>
    </w:p>
    <w:p w14:paraId="6E107DD2" w14:textId="77777777" w:rsidR="008A5714" w:rsidRDefault="008A5714" w:rsidP="008A5714">
      <w:pPr>
        <w:spacing w:line="276" w:lineRule="auto"/>
        <w:ind w:left="1440" w:hanging="540"/>
      </w:pPr>
      <w:r>
        <w:t>Source: PSC filings</w:t>
      </w:r>
    </w:p>
    <w:p w14:paraId="59930E63" w14:textId="77777777" w:rsidR="008A5714" w:rsidRDefault="008A5714" w:rsidP="00BC7979">
      <w:pPr>
        <w:spacing w:line="276" w:lineRule="auto"/>
        <w:ind w:firstLine="720"/>
      </w:pPr>
    </w:p>
    <w:p w14:paraId="2327D168" w14:textId="15C67B64" w:rsidR="00727B2C" w:rsidRDefault="00727B2C" w:rsidP="00BC7979">
      <w:pPr>
        <w:spacing w:line="276" w:lineRule="auto"/>
        <w:ind w:firstLine="720"/>
      </w:pPr>
      <w:r>
        <w:t>Incentive Percent if Threshold is not met</w:t>
      </w:r>
    </w:p>
    <w:p w14:paraId="523408DA" w14:textId="77777777" w:rsidR="008A5714" w:rsidRDefault="008A5714" w:rsidP="008A5714">
      <w:pPr>
        <w:spacing w:line="276" w:lineRule="auto"/>
        <w:ind w:left="144" w:firstLine="720"/>
      </w:pPr>
      <w:r>
        <w:t>Units: Percentage</w:t>
      </w:r>
    </w:p>
    <w:p w14:paraId="31448324" w14:textId="77777777" w:rsidR="008A5714" w:rsidRDefault="008A5714" w:rsidP="008A5714">
      <w:pPr>
        <w:spacing w:line="276" w:lineRule="auto"/>
        <w:ind w:left="144" w:firstLine="720"/>
      </w:pPr>
      <w:r>
        <w:t>Description:</w:t>
      </w:r>
    </w:p>
    <w:p w14:paraId="2C67BDCB" w14:textId="3D192A82" w:rsidR="008A5714" w:rsidRDefault="008A5714" w:rsidP="008A5714">
      <w:pPr>
        <w:spacing w:line="276" w:lineRule="auto"/>
        <w:ind w:left="1440"/>
      </w:pPr>
      <w:r>
        <w:t>This input is asking for the percentage of the Incentive that the utility will be given if the program performance doesn’t meet the threshold. This is based on what the public service commission has authorized as a percentage of incentive for the utility if the threshold is not met or if the user is interested in testing such a threshold.</w:t>
      </w:r>
    </w:p>
    <w:p w14:paraId="22E8D3B0" w14:textId="77777777" w:rsidR="008A5714" w:rsidRDefault="008A5714" w:rsidP="008A5714">
      <w:pPr>
        <w:spacing w:line="276" w:lineRule="auto"/>
        <w:ind w:left="1440" w:hanging="540"/>
      </w:pPr>
      <w:r>
        <w:t>Source: PSC filings</w:t>
      </w:r>
    </w:p>
    <w:p w14:paraId="030B8C1B" w14:textId="77777777" w:rsidR="00627E59" w:rsidRDefault="00627E59" w:rsidP="00627E59">
      <w:pPr>
        <w:spacing w:line="276" w:lineRule="auto"/>
        <w:ind w:firstLine="720"/>
      </w:pPr>
    </w:p>
    <w:p w14:paraId="6D0A8BFF" w14:textId="77777777" w:rsidR="00627E59" w:rsidRDefault="00627E59" w:rsidP="00627E59">
      <w:pPr>
        <w:spacing w:line="276" w:lineRule="auto"/>
        <w:ind w:firstLine="720"/>
      </w:pPr>
      <w:r>
        <w:t>Residential Threshold</w:t>
      </w:r>
    </w:p>
    <w:p w14:paraId="613A26D8" w14:textId="3F26CC68" w:rsidR="008A5714" w:rsidRDefault="008A5714" w:rsidP="008A5714">
      <w:pPr>
        <w:spacing w:line="276" w:lineRule="auto"/>
        <w:ind w:left="144" w:firstLine="720"/>
      </w:pPr>
      <w:r>
        <w:t>Units: $</w:t>
      </w:r>
    </w:p>
    <w:p w14:paraId="0EF1234F" w14:textId="77777777" w:rsidR="008A5714" w:rsidRDefault="008A5714" w:rsidP="008A5714">
      <w:pPr>
        <w:spacing w:line="276" w:lineRule="auto"/>
        <w:ind w:left="144" w:firstLine="720"/>
      </w:pPr>
      <w:r>
        <w:t>Description:</w:t>
      </w:r>
    </w:p>
    <w:p w14:paraId="53E44452" w14:textId="15F3D5B3" w:rsidR="008A5714" w:rsidRDefault="008A5714" w:rsidP="008A5714">
      <w:pPr>
        <w:spacing w:line="276" w:lineRule="auto"/>
        <w:ind w:left="1440"/>
      </w:pPr>
      <w:r>
        <w:t xml:space="preserve">This input is asking for the threshold value for the Incentive Threshold Basis that the utility must meet in its Residential program to be given the full incentive. If the program performance doesn’t meet the threshold then the utility is given a reduced incentive based on the Incentive Percent if Threshold is not met (see above). </w:t>
      </w:r>
      <w:r w:rsidR="002861BE">
        <w:t xml:space="preserve">These are entered annually in a separate table to the right of the normal input table (see below). </w:t>
      </w:r>
      <w:r>
        <w:t>This is based on what the public service commission has authorized as a threshold for the utility or if the user is interested in testing such a threshold.</w:t>
      </w:r>
    </w:p>
    <w:p w14:paraId="48A9AB93" w14:textId="771DE796" w:rsidR="00627E59" w:rsidRDefault="008A5714" w:rsidP="008A5714">
      <w:pPr>
        <w:spacing w:line="276" w:lineRule="auto"/>
        <w:ind w:firstLine="900"/>
      </w:pPr>
      <w:r>
        <w:t>Source: PSC filings</w:t>
      </w:r>
    </w:p>
    <w:p w14:paraId="09809DD0" w14:textId="77777777" w:rsidR="008A5714" w:rsidRDefault="008A5714" w:rsidP="00627E59">
      <w:pPr>
        <w:spacing w:line="276" w:lineRule="auto"/>
        <w:ind w:firstLine="720"/>
      </w:pPr>
    </w:p>
    <w:p w14:paraId="30281393" w14:textId="77777777" w:rsidR="00627E59" w:rsidRDefault="00627E59" w:rsidP="00627E59">
      <w:pPr>
        <w:spacing w:line="276" w:lineRule="auto"/>
        <w:ind w:firstLine="720"/>
      </w:pPr>
      <w:r>
        <w:t>C&amp;I Threshold</w:t>
      </w:r>
    </w:p>
    <w:p w14:paraId="0DB9392E" w14:textId="77777777" w:rsidR="008A5714" w:rsidRDefault="008A5714" w:rsidP="008A5714">
      <w:pPr>
        <w:spacing w:line="276" w:lineRule="auto"/>
        <w:ind w:left="144" w:firstLine="720"/>
      </w:pPr>
      <w:r>
        <w:t>Units: $</w:t>
      </w:r>
    </w:p>
    <w:p w14:paraId="15D36192" w14:textId="77777777" w:rsidR="008A5714" w:rsidRDefault="008A5714" w:rsidP="008A5714">
      <w:pPr>
        <w:spacing w:line="276" w:lineRule="auto"/>
        <w:ind w:left="144" w:firstLine="720"/>
      </w:pPr>
      <w:r>
        <w:t>Description:</w:t>
      </w:r>
    </w:p>
    <w:p w14:paraId="6952D8EE" w14:textId="4DA033E6" w:rsidR="008A5714" w:rsidRDefault="008A5714" w:rsidP="008A5714">
      <w:pPr>
        <w:spacing w:line="276" w:lineRule="auto"/>
        <w:ind w:left="1440"/>
      </w:pPr>
      <w:r>
        <w:t xml:space="preserve">This input is asking for the threshold value for the Incentive Threshold Basis that the utility must meet in its Commercial and Industrial programs to be given the full incentive. If the program performance doesn’t meet the threshold then the utility is given a reduced incentive based on the Incentive Percent if Threshold is not met (see above). </w:t>
      </w:r>
      <w:r w:rsidR="002861BE">
        <w:t xml:space="preserve">These are entered annually in a separate table to the right of the normal input table (see below). </w:t>
      </w:r>
      <w:r>
        <w:t>This is based on what the public service commission has authorized as a threshold for the utility or if the user is interested in testing such a threshold.</w:t>
      </w:r>
    </w:p>
    <w:p w14:paraId="2A5919D3" w14:textId="77777777" w:rsidR="008A5714" w:rsidRDefault="008A5714" w:rsidP="008A5714">
      <w:pPr>
        <w:spacing w:line="276" w:lineRule="auto"/>
        <w:ind w:firstLine="900"/>
      </w:pPr>
      <w:r>
        <w:t>Source: PSC filings</w:t>
      </w:r>
    </w:p>
    <w:p w14:paraId="0C83BAD5" w14:textId="77777777" w:rsidR="00627E59" w:rsidRDefault="00627E59" w:rsidP="00627E59">
      <w:pPr>
        <w:spacing w:line="276" w:lineRule="auto"/>
        <w:ind w:firstLine="720"/>
      </w:pPr>
    </w:p>
    <w:p w14:paraId="0B3304FC" w14:textId="57B491C9" w:rsidR="006272CE" w:rsidRDefault="00116F23" w:rsidP="00627E59">
      <w:pPr>
        <w:spacing w:line="276" w:lineRule="auto"/>
        <w:ind w:left="720" w:firstLine="360"/>
        <w:rPr>
          <w:i/>
        </w:rPr>
      </w:pPr>
      <w:r w:rsidRPr="00116F23">
        <w:rPr>
          <w:i/>
        </w:rPr>
        <w:t>Thresholds:</w:t>
      </w:r>
    </w:p>
    <w:p w14:paraId="4549BD63" w14:textId="65831645" w:rsidR="00116F23" w:rsidRPr="00116F23" w:rsidRDefault="002861BE" w:rsidP="002861BE">
      <w:pPr>
        <w:spacing w:line="276" w:lineRule="auto"/>
        <w:ind w:left="1440"/>
      </w:pPr>
      <w:r>
        <w:t>The annual values for the performance threshold are entered in the table that appears as the following:</w:t>
      </w:r>
    </w:p>
    <w:p w14:paraId="039D96D2" w14:textId="4E3480F2" w:rsidR="006272CE" w:rsidRDefault="006272CE" w:rsidP="006272CE">
      <w:pPr>
        <w:spacing w:line="276" w:lineRule="auto"/>
        <w:jc w:val="center"/>
      </w:pPr>
      <w:r>
        <w:rPr>
          <w:noProof/>
          <w:lang w:eastAsia="en-US"/>
        </w:rPr>
        <w:drawing>
          <wp:inline distT="0" distB="0" distL="0" distR="0" wp14:anchorId="187DAB37" wp14:editId="1AFA30E8">
            <wp:extent cx="3695700" cy="535310"/>
            <wp:effectExtent l="0" t="0" r="0" b="0"/>
            <wp:docPr id="46" name="Picture 46" descr="Macintosh HD:Users:Ben:Desktop:Screen Shot 2014-10-31 at 1.4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n:Desktop:Screen Shot 2014-10-31 at 1.43.33 P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5700" cy="535310"/>
                    </a:xfrm>
                    <a:prstGeom prst="rect">
                      <a:avLst/>
                    </a:prstGeom>
                    <a:noFill/>
                    <a:ln>
                      <a:noFill/>
                    </a:ln>
                  </pic:spPr>
                </pic:pic>
              </a:graphicData>
            </a:graphic>
          </wp:inline>
        </w:drawing>
      </w:r>
    </w:p>
    <w:p w14:paraId="68D67469" w14:textId="77777777" w:rsidR="00727B2C" w:rsidRDefault="00727B2C" w:rsidP="00BC7979">
      <w:pPr>
        <w:spacing w:line="276" w:lineRule="auto"/>
        <w:ind w:firstLine="720"/>
      </w:pPr>
    </w:p>
    <w:p w14:paraId="4E4A0DE0" w14:textId="77777777" w:rsidR="002861BE" w:rsidRDefault="002861BE">
      <w:pPr>
        <w:suppressAutoHyphens w:val="0"/>
        <w:rPr>
          <w:i/>
        </w:rPr>
      </w:pPr>
      <w:r>
        <w:rPr>
          <w:i/>
        </w:rPr>
        <w:br w:type="page"/>
      </w:r>
    </w:p>
    <w:p w14:paraId="6316A5F3" w14:textId="70FA52DE" w:rsidR="00727B2C" w:rsidRPr="00727B2C" w:rsidRDefault="00727B2C" w:rsidP="00BC7979">
      <w:pPr>
        <w:spacing w:line="276" w:lineRule="auto"/>
        <w:ind w:firstLine="720"/>
        <w:rPr>
          <w:i/>
        </w:rPr>
      </w:pPr>
      <w:r w:rsidRPr="00727B2C">
        <w:rPr>
          <w:i/>
        </w:rPr>
        <w:t>Grossed Savings</w:t>
      </w:r>
    </w:p>
    <w:p w14:paraId="5D14D043" w14:textId="77777777" w:rsidR="00E10735" w:rsidRDefault="00E10735" w:rsidP="00E10735">
      <w:pPr>
        <w:spacing w:line="276" w:lineRule="auto"/>
        <w:ind w:left="144" w:firstLine="720"/>
      </w:pPr>
      <w:r>
        <w:t>Units: Boolean</w:t>
      </w:r>
    </w:p>
    <w:p w14:paraId="028675D5" w14:textId="77777777" w:rsidR="00E10735" w:rsidRDefault="00E10735" w:rsidP="00E10735">
      <w:pPr>
        <w:spacing w:line="276" w:lineRule="auto"/>
        <w:ind w:left="144" w:firstLine="720"/>
      </w:pPr>
      <w:r>
        <w:t>Description:</w:t>
      </w:r>
    </w:p>
    <w:p w14:paraId="7B631789" w14:textId="79956C78" w:rsidR="00E10735" w:rsidRDefault="00E10735" w:rsidP="00E10735">
      <w:pPr>
        <w:spacing w:line="276" w:lineRule="auto"/>
        <w:ind w:left="1440"/>
      </w:pPr>
      <w:r>
        <w:t xml:space="preserve">This input is asking whether or not the utility’s DSM program savings are grossed instead of just netted for the purpose of the </w:t>
      </w:r>
      <w:r w:rsidR="00627E59">
        <w:t>Incentive. This is based simply on whether the public service commission has authorized a cap on the incentives for a utility or if the user is interested in testing such a cap.</w:t>
      </w:r>
    </w:p>
    <w:p w14:paraId="200A6BF7" w14:textId="29BB3EA1" w:rsidR="00E10735" w:rsidRDefault="00E10735" w:rsidP="00E10735">
      <w:pPr>
        <w:spacing w:line="276" w:lineRule="auto"/>
        <w:ind w:left="1440" w:hanging="540"/>
      </w:pPr>
      <w:r>
        <w:t>Source: PSC filings</w:t>
      </w:r>
    </w:p>
    <w:p w14:paraId="5AC000B6" w14:textId="77777777" w:rsidR="00727B2C" w:rsidRDefault="00727B2C" w:rsidP="00BC7979">
      <w:pPr>
        <w:spacing w:line="276" w:lineRule="auto"/>
        <w:ind w:firstLine="720"/>
      </w:pPr>
    </w:p>
    <w:p w14:paraId="71AB22CE" w14:textId="0FC07726" w:rsidR="00727B2C" w:rsidRDefault="006272CE" w:rsidP="00BC7979">
      <w:pPr>
        <w:spacing w:line="276" w:lineRule="auto"/>
        <w:ind w:firstLine="720"/>
      </w:pPr>
      <w:r>
        <w:t>Residential Net-to-Gross Ratio</w:t>
      </w:r>
    </w:p>
    <w:p w14:paraId="1DF6639A" w14:textId="62029619" w:rsidR="002861BE" w:rsidRDefault="002861BE" w:rsidP="002861BE">
      <w:pPr>
        <w:spacing w:line="276" w:lineRule="auto"/>
        <w:ind w:left="144" w:firstLine="720"/>
      </w:pPr>
      <w:r>
        <w:t xml:space="preserve">Units: Percentage </w:t>
      </w:r>
    </w:p>
    <w:p w14:paraId="1057BA01" w14:textId="77777777" w:rsidR="002861BE" w:rsidRDefault="002861BE" w:rsidP="002861BE">
      <w:pPr>
        <w:spacing w:line="276" w:lineRule="auto"/>
        <w:ind w:left="144" w:firstLine="720"/>
      </w:pPr>
      <w:r>
        <w:t>Description:</w:t>
      </w:r>
    </w:p>
    <w:p w14:paraId="10876E8A" w14:textId="32183DAA" w:rsidR="002861BE" w:rsidRDefault="002861BE" w:rsidP="002861BE">
      <w:pPr>
        <w:spacing w:line="276" w:lineRule="auto"/>
        <w:ind w:left="1440"/>
      </w:pPr>
      <w:r>
        <w:t>This input is asking for the percentage that the grossed savings are of the net savings in the Residential program. This is based simply on whether the public service commission has authorized a cap on the incentives for a utility or if the user is interested in testing such an incentive limiter.</w:t>
      </w:r>
    </w:p>
    <w:p w14:paraId="36A8641F" w14:textId="7A4945CD" w:rsidR="002861BE" w:rsidRDefault="002861BE" w:rsidP="002861BE">
      <w:pPr>
        <w:spacing w:line="276" w:lineRule="auto"/>
        <w:ind w:left="1440" w:hanging="540"/>
      </w:pPr>
      <w:r>
        <w:t>Source: PSC filings</w:t>
      </w:r>
    </w:p>
    <w:p w14:paraId="0A0334B4" w14:textId="77777777" w:rsidR="002861BE" w:rsidRDefault="002861BE" w:rsidP="00BC7979">
      <w:pPr>
        <w:spacing w:line="276" w:lineRule="auto"/>
        <w:ind w:firstLine="720"/>
      </w:pPr>
    </w:p>
    <w:p w14:paraId="65A7B82E" w14:textId="6E51B292" w:rsidR="006272CE" w:rsidRDefault="006272CE" w:rsidP="00BC7979">
      <w:pPr>
        <w:spacing w:line="276" w:lineRule="auto"/>
        <w:ind w:firstLine="720"/>
      </w:pPr>
      <w:r>
        <w:t>C&amp;I Net-to-Gross Ratio</w:t>
      </w:r>
    </w:p>
    <w:p w14:paraId="2BE39221" w14:textId="77777777" w:rsidR="002861BE" w:rsidRDefault="002861BE" w:rsidP="002861BE">
      <w:pPr>
        <w:spacing w:line="276" w:lineRule="auto"/>
        <w:ind w:left="144" w:firstLine="720"/>
      </w:pPr>
      <w:r>
        <w:t xml:space="preserve">Units: Percentage </w:t>
      </w:r>
    </w:p>
    <w:p w14:paraId="5469B3A9" w14:textId="77777777" w:rsidR="002861BE" w:rsidRDefault="002861BE" w:rsidP="002861BE">
      <w:pPr>
        <w:spacing w:line="276" w:lineRule="auto"/>
        <w:ind w:left="144" w:firstLine="720"/>
      </w:pPr>
      <w:r>
        <w:t>Description:</w:t>
      </w:r>
    </w:p>
    <w:p w14:paraId="761E32A8" w14:textId="5E98B6C5" w:rsidR="002861BE" w:rsidRDefault="002861BE" w:rsidP="002861BE">
      <w:pPr>
        <w:spacing w:line="276" w:lineRule="auto"/>
        <w:ind w:left="1440"/>
      </w:pPr>
      <w:r>
        <w:t>This input is asking for the percentage that the grossed savings are of the net savings in the Commercial and Industrial programs. This is based simply on whether the public service commission has authorized a cap on the incentives for a utility or if the user is interested in testing such an incentive limiter.</w:t>
      </w:r>
    </w:p>
    <w:p w14:paraId="7F8A562E" w14:textId="77777777" w:rsidR="002861BE" w:rsidRDefault="002861BE" w:rsidP="002861BE">
      <w:pPr>
        <w:spacing w:line="276" w:lineRule="auto"/>
        <w:ind w:left="1440" w:hanging="540"/>
      </w:pPr>
      <w:r>
        <w:t>Source: PSC filings</w:t>
      </w:r>
    </w:p>
    <w:p w14:paraId="5F1B8DB0" w14:textId="77777777" w:rsidR="006272CE" w:rsidRDefault="006272CE" w:rsidP="00BC7979">
      <w:pPr>
        <w:spacing w:line="276" w:lineRule="auto"/>
        <w:ind w:firstLine="720"/>
      </w:pPr>
    </w:p>
    <w:p w14:paraId="2C080F9C" w14:textId="77777777" w:rsidR="00BC7979" w:rsidRPr="00837EF2" w:rsidRDefault="00BC7979" w:rsidP="00BC7979">
      <w:pPr>
        <w:pStyle w:val="Heading3"/>
        <w:spacing w:line="276" w:lineRule="auto"/>
      </w:pPr>
      <w:bookmarkStart w:id="32" w:name="_Toc278464904"/>
      <w:r>
        <w:t>Deferred Capital Investment Sub-Module</w:t>
      </w:r>
      <w:bookmarkEnd w:id="32"/>
    </w:p>
    <w:p w14:paraId="4C4BA51E" w14:textId="77777777" w:rsidR="00BC7979" w:rsidRDefault="00BC7979" w:rsidP="00BC7979">
      <w:pPr>
        <w:spacing w:line="276" w:lineRule="auto"/>
        <w:rPr>
          <w:rFonts w:ascii="Calibri" w:hAnsi="Calibri" w:cs="Calibri"/>
          <w:b/>
          <w:bCs/>
          <w:color w:val="4F81BD"/>
          <w:sz w:val="26"/>
          <w:szCs w:val="26"/>
        </w:rPr>
      </w:pPr>
    </w:p>
    <w:p w14:paraId="0D0A5AC0" w14:textId="77777777" w:rsidR="00BC7979" w:rsidRDefault="00BC7979" w:rsidP="00E22B98">
      <w:pPr>
        <w:spacing w:line="276" w:lineRule="auto"/>
        <w:ind w:firstLine="720"/>
      </w:pPr>
      <w:r>
        <w:t xml:space="preserve">The Deferred Capital Investment Sub-Module is intended to capture impacts of DSM programs to a utility firm’s major capital investment projects. The utility may be planning to build new power supply infrastructure that could be avoided through energy efficiency, and the user can specify the costs and timing of such future projects in this sub-module. </w:t>
      </w:r>
    </w:p>
    <w:p w14:paraId="692F5C63" w14:textId="77777777" w:rsidR="00904A1F" w:rsidRDefault="00904A1F" w:rsidP="00E22B98">
      <w:pPr>
        <w:spacing w:line="276" w:lineRule="auto"/>
        <w:ind w:firstLine="720"/>
      </w:pPr>
    </w:p>
    <w:p w14:paraId="61482BF9" w14:textId="77777777" w:rsidR="00BC7979" w:rsidRDefault="00BC7979" w:rsidP="00BC7979">
      <w:pPr>
        <w:spacing w:line="276" w:lineRule="auto"/>
        <w:jc w:val="center"/>
        <w:rPr>
          <w:rFonts w:ascii="Calibri" w:hAnsi="Calibri" w:cs="Calibri"/>
          <w:b/>
          <w:bCs/>
          <w:color w:val="4F81BD"/>
          <w:sz w:val="26"/>
          <w:szCs w:val="26"/>
        </w:rPr>
      </w:pPr>
      <w:r w:rsidRPr="00BC7979">
        <w:rPr>
          <w:noProof/>
          <w:lang w:eastAsia="en-US"/>
        </w:rPr>
        <w:drawing>
          <wp:inline distT="0" distB="0" distL="0" distR="0" wp14:anchorId="0C25EB38" wp14:editId="25BD7DCA">
            <wp:extent cx="4323644" cy="455626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6707" cy="4559494"/>
                    </a:xfrm>
                    <a:prstGeom prst="rect">
                      <a:avLst/>
                    </a:prstGeom>
                    <a:noFill/>
                    <a:ln>
                      <a:noFill/>
                    </a:ln>
                  </pic:spPr>
                </pic:pic>
              </a:graphicData>
            </a:graphic>
          </wp:inline>
        </w:drawing>
      </w:r>
    </w:p>
    <w:p w14:paraId="1F99DCD4" w14:textId="77777777" w:rsidR="00ED71B2" w:rsidRDefault="00ED71B2" w:rsidP="00BC7979">
      <w:pPr>
        <w:spacing w:line="276" w:lineRule="auto"/>
        <w:rPr>
          <w:rFonts w:ascii="Calibri" w:hAnsi="Calibri" w:cs="Calibri"/>
          <w:b/>
          <w:bCs/>
          <w:color w:val="4F81BD"/>
          <w:sz w:val="26"/>
          <w:szCs w:val="26"/>
        </w:rPr>
      </w:pPr>
    </w:p>
    <w:p w14:paraId="6CB96D8F" w14:textId="23A87D7B" w:rsidR="00BC7979" w:rsidRPr="00FF3446" w:rsidRDefault="00BC7979" w:rsidP="00BC7979">
      <w:pPr>
        <w:spacing w:line="276" w:lineRule="auto"/>
        <w:ind w:firstLine="720"/>
      </w:pPr>
      <w:r w:rsidRPr="00FF3446">
        <w:t>Forecasted Capital Investment</w:t>
      </w:r>
      <w:r w:rsidR="002861BE">
        <w:t>:</w:t>
      </w:r>
    </w:p>
    <w:p w14:paraId="20ACEECD" w14:textId="34ABB7F8" w:rsidR="00BC7979" w:rsidRDefault="00BC7979" w:rsidP="002861BE">
      <w:pPr>
        <w:spacing w:line="276" w:lineRule="auto"/>
        <w:ind w:left="900"/>
      </w:pPr>
      <w:r w:rsidRPr="00FF3446">
        <w:t>Note: the descriptions of this input apply to Capital Investment A, B, C, D, and E in this section of the utility sector worksheet.</w:t>
      </w:r>
      <w:r w:rsidR="008A1B22">
        <w:t xml:space="preserve"> This section of the model can also be used to characterize capital costs related to environmental compliance, such as emissions control technologies applied to power plants.</w:t>
      </w:r>
    </w:p>
    <w:p w14:paraId="1F7ABCB4" w14:textId="77777777" w:rsidR="002C60BB" w:rsidRDefault="002C60BB" w:rsidP="00D81094">
      <w:pPr>
        <w:spacing w:line="276" w:lineRule="auto"/>
        <w:ind w:left="144" w:firstLine="576"/>
      </w:pPr>
    </w:p>
    <w:p w14:paraId="74408EB5" w14:textId="77777777" w:rsidR="002C60BB" w:rsidRDefault="002C60BB">
      <w:pPr>
        <w:suppressAutoHyphens w:val="0"/>
      </w:pPr>
      <w:r>
        <w:br w:type="page"/>
      </w:r>
    </w:p>
    <w:p w14:paraId="55B146C5" w14:textId="42A5F8A4" w:rsidR="00BC7979" w:rsidRPr="00FF3446" w:rsidRDefault="00BC7979" w:rsidP="00D81094">
      <w:pPr>
        <w:spacing w:line="276" w:lineRule="auto"/>
        <w:ind w:left="144" w:firstLine="576"/>
      </w:pPr>
      <w:r w:rsidRPr="00FF3446">
        <w:t>Capital Investment A</w:t>
      </w:r>
    </w:p>
    <w:p w14:paraId="0CF4D93F" w14:textId="77777777" w:rsidR="00BC7979" w:rsidRPr="00FF3446" w:rsidRDefault="00BC7979" w:rsidP="00BC7979">
      <w:pPr>
        <w:spacing w:line="276" w:lineRule="auto"/>
        <w:ind w:left="144" w:firstLine="720"/>
      </w:pPr>
      <w:r w:rsidRPr="00FF3446">
        <w:t>Units: Boolean</w:t>
      </w:r>
    </w:p>
    <w:p w14:paraId="283F0C05" w14:textId="77777777" w:rsidR="00BC7979" w:rsidRPr="00FF3446" w:rsidRDefault="00BC7979" w:rsidP="00BC7979">
      <w:pPr>
        <w:spacing w:line="276" w:lineRule="auto"/>
        <w:ind w:left="144" w:firstLine="720"/>
      </w:pPr>
      <w:r w:rsidRPr="00FF3446">
        <w:t>Description:</w:t>
      </w:r>
    </w:p>
    <w:p w14:paraId="15BCF642" w14:textId="7FD53200" w:rsidR="00BC7979" w:rsidRPr="00FF3446" w:rsidRDefault="00BC7979" w:rsidP="00BC7979">
      <w:pPr>
        <w:spacing w:line="276" w:lineRule="auto"/>
        <w:ind w:left="1440"/>
      </w:pPr>
      <w:r w:rsidRPr="00FF3446">
        <w:t xml:space="preserve">This input is asking whether a major capital </w:t>
      </w:r>
      <w:r w:rsidRPr="00CB5BF0">
        <w:t>investment</w:t>
      </w:r>
      <w:r w:rsidR="002A25D4">
        <w:t xml:space="preserve"> (</w:t>
      </w:r>
      <w:r w:rsidRPr="00FF3446">
        <w:t>new power plants or a new transmission system</w:t>
      </w:r>
      <w:r w:rsidR="002A25D4">
        <w:t>)</w:t>
      </w:r>
      <w:r w:rsidR="002A25D4" w:rsidRPr="00FF3446">
        <w:t xml:space="preserve"> </w:t>
      </w:r>
      <w:r w:rsidR="002A25D4">
        <w:t>are</w:t>
      </w:r>
      <w:r w:rsidR="002A25D4" w:rsidRPr="00FF3446">
        <w:t xml:space="preserve"> </w:t>
      </w:r>
      <w:r w:rsidRPr="00FF3446">
        <w:t>expected to be made during the forecast period.</w:t>
      </w:r>
    </w:p>
    <w:p w14:paraId="56A3C981" w14:textId="1159D868" w:rsidR="00BC7979" w:rsidRDefault="00BC7979" w:rsidP="00E22B98">
      <w:pPr>
        <w:spacing w:line="276" w:lineRule="auto"/>
        <w:ind w:left="1440" w:hanging="540"/>
      </w:pPr>
      <w:r w:rsidRPr="00FF3446">
        <w:t>Source:</w:t>
      </w:r>
      <w:r w:rsidR="00D81094" w:rsidRPr="00FF3446" w:rsidDel="00D81094">
        <w:t xml:space="preserve"> </w:t>
      </w:r>
      <w:r>
        <w:t xml:space="preserve">The user should refer to both </w:t>
      </w:r>
      <w:hyperlink r:id="rId79" w:history="1">
        <w:r w:rsidR="00E0055D">
          <w:rPr>
            <w:rStyle w:val="Hyperlink"/>
          </w:rPr>
          <w:t>SEC</w:t>
        </w:r>
      </w:hyperlink>
      <w:hyperlink r:id="rId80" w:history="1">
        <w:r w:rsidR="00E0055D">
          <w:rPr>
            <w:rStyle w:val="Hyperlink"/>
          </w:rPr>
          <w:t xml:space="preserve"> 10-K</w:t>
        </w:r>
      </w:hyperlink>
      <w:r>
        <w:t xml:space="preserve"> filings and public service commission documents in order to verify whether the utility firm expects to make a major capital investment. The user may experiment with this value in order to observe the effects of a new capital investment upon all stakeholders.</w:t>
      </w:r>
    </w:p>
    <w:p w14:paraId="64762FCE" w14:textId="77777777" w:rsidR="00BC7979" w:rsidRDefault="00BC7979" w:rsidP="00BC7979">
      <w:pPr>
        <w:spacing w:line="276" w:lineRule="auto"/>
        <w:ind w:left="1440"/>
        <w:rPr>
          <w:rFonts w:ascii="Calibri" w:hAnsi="Calibri" w:cs="Calibri"/>
          <w:b/>
          <w:bCs/>
          <w:color w:val="4F81BD"/>
          <w:sz w:val="26"/>
          <w:szCs w:val="26"/>
        </w:rPr>
      </w:pPr>
    </w:p>
    <w:p w14:paraId="2514D8CA" w14:textId="77777777" w:rsidR="00BC7979" w:rsidRPr="008F1277" w:rsidRDefault="00BC7979" w:rsidP="00D81094">
      <w:pPr>
        <w:spacing w:line="276" w:lineRule="auto"/>
        <w:ind w:left="144" w:firstLine="576"/>
      </w:pPr>
      <w:r>
        <w:t>Name</w:t>
      </w:r>
    </w:p>
    <w:p w14:paraId="2BCD86E4" w14:textId="77777777" w:rsidR="00BC7979" w:rsidRPr="008F1277" w:rsidRDefault="00BC7979" w:rsidP="00BC7979">
      <w:pPr>
        <w:spacing w:line="276" w:lineRule="auto"/>
        <w:ind w:left="144" w:firstLine="720"/>
      </w:pPr>
      <w:r w:rsidRPr="008F1277">
        <w:t xml:space="preserve">Units: </w:t>
      </w:r>
      <w:r>
        <w:t>words</w:t>
      </w:r>
    </w:p>
    <w:p w14:paraId="06BC9393" w14:textId="77777777" w:rsidR="00BC7979" w:rsidRPr="008F1277" w:rsidRDefault="00BC7979" w:rsidP="00BC7979">
      <w:pPr>
        <w:spacing w:line="276" w:lineRule="auto"/>
        <w:ind w:left="144" w:firstLine="720"/>
      </w:pPr>
      <w:r w:rsidRPr="008F1277">
        <w:t>Description:</w:t>
      </w:r>
    </w:p>
    <w:p w14:paraId="0B763177" w14:textId="77777777" w:rsidR="00BC7979" w:rsidRPr="008F1277" w:rsidRDefault="00BC7979" w:rsidP="00BC7979">
      <w:pPr>
        <w:spacing w:line="276" w:lineRule="auto"/>
        <w:ind w:left="1440"/>
      </w:pPr>
      <w:r>
        <w:t>This input is asking the user to name the capital investment</w:t>
      </w:r>
      <w:r w:rsidRPr="008F1277">
        <w:t>.</w:t>
      </w:r>
    </w:p>
    <w:p w14:paraId="51AD4CCB" w14:textId="3ECFC8FA" w:rsidR="00BC7979" w:rsidRDefault="00BC7979" w:rsidP="00E22B98">
      <w:pPr>
        <w:spacing w:line="276" w:lineRule="auto"/>
        <w:ind w:left="1440" w:hanging="540"/>
      </w:pPr>
      <w:r w:rsidRPr="008F1277">
        <w:t>Source:</w:t>
      </w:r>
      <w:r w:rsidR="00D81094" w:rsidRPr="008F1277" w:rsidDel="00D81094">
        <w:t xml:space="preserve"> </w:t>
      </w:r>
      <w:r>
        <w:t xml:space="preserve">If seeking to model expected capital investments, users should use the name of the capital investment project as it is described in </w:t>
      </w:r>
      <w:hyperlink r:id="rId81" w:history="1">
        <w:r w:rsidR="00E0055D">
          <w:rPr>
            <w:rStyle w:val="Hyperlink"/>
          </w:rPr>
          <w:t>SEC</w:t>
        </w:r>
      </w:hyperlink>
      <w:hyperlink r:id="rId82" w:history="1">
        <w:r w:rsidR="00E0055D">
          <w:rPr>
            <w:rStyle w:val="Hyperlink"/>
          </w:rPr>
          <w:t xml:space="preserve"> 10-K</w:t>
        </w:r>
      </w:hyperlink>
      <w:r>
        <w:t>s and public service commission documents. Any name will suffice for experimental purposes.</w:t>
      </w:r>
    </w:p>
    <w:p w14:paraId="0067D72D" w14:textId="77777777" w:rsidR="00BC7979" w:rsidRDefault="00BC7979" w:rsidP="00BC7979">
      <w:pPr>
        <w:spacing w:line="276" w:lineRule="auto"/>
        <w:ind w:left="1440"/>
        <w:rPr>
          <w:rFonts w:ascii="Calibri" w:hAnsi="Calibri" w:cs="Calibri"/>
          <w:b/>
          <w:bCs/>
          <w:color w:val="4F81BD"/>
          <w:sz w:val="26"/>
          <w:szCs w:val="26"/>
        </w:rPr>
      </w:pPr>
    </w:p>
    <w:p w14:paraId="2AB67B24" w14:textId="77777777" w:rsidR="00BC7979" w:rsidRPr="008F1277" w:rsidRDefault="00BC7979" w:rsidP="00D81094">
      <w:pPr>
        <w:spacing w:line="276" w:lineRule="auto"/>
        <w:ind w:left="144" w:firstLine="576"/>
      </w:pPr>
      <w:r>
        <w:t>Activation Year</w:t>
      </w:r>
    </w:p>
    <w:p w14:paraId="359EEAD9" w14:textId="77777777" w:rsidR="00BC7979" w:rsidRPr="008F1277" w:rsidRDefault="00BC7979" w:rsidP="00BC7979">
      <w:pPr>
        <w:spacing w:line="276" w:lineRule="auto"/>
        <w:ind w:left="144" w:firstLine="720"/>
      </w:pPr>
      <w:r w:rsidRPr="008F1277">
        <w:t xml:space="preserve">Units: </w:t>
      </w:r>
      <w:r>
        <w:t>Integer, from 1 to 25</w:t>
      </w:r>
    </w:p>
    <w:p w14:paraId="2CA455BC" w14:textId="77777777" w:rsidR="00BC7979" w:rsidRPr="008F1277" w:rsidRDefault="00BC7979" w:rsidP="00BC7979">
      <w:pPr>
        <w:spacing w:line="276" w:lineRule="auto"/>
        <w:ind w:left="144" w:firstLine="720"/>
      </w:pPr>
      <w:r w:rsidRPr="008F1277">
        <w:t>Description:</w:t>
      </w:r>
    </w:p>
    <w:p w14:paraId="3779CB0A" w14:textId="77777777" w:rsidR="00BC7979" w:rsidRPr="008F1277" w:rsidRDefault="00BC7979" w:rsidP="00BC7979">
      <w:pPr>
        <w:spacing w:line="276" w:lineRule="auto"/>
        <w:ind w:left="1440"/>
      </w:pPr>
      <w:r>
        <w:t>This input is asking the user to identify the first year in which the capital investment will be used</w:t>
      </w:r>
      <w:r w:rsidRPr="008F1277">
        <w:t>.</w:t>
      </w:r>
      <w:r>
        <w:t xml:space="preserve"> For example, the point at which a power plant goes into service and begins generating electricity would be the activation year for a power plant capital investment.</w:t>
      </w:r>
    </w:p>
    <w:p w14:paraId="7D27C15A" w14:textId="445DE554" w:rsidR="00BC7979" w:rsidRDefault="00BC7979" w:rsidP="00E22B98">
      <w:pPr>
        <w:spacing w:line="276" w:lineRule="auto"/>
        <w:ind w:left="1440" w:hanging="540"/>
      </w:pPr>
      <w:r w:rsidRPr="008F1277">
        <w:t>Source:</w:t>
      </w:r>
      <w:r w:rsidR="00D81094" w:rsidRPr="008F1277" w:rsidDel="00D81094">
        <w:t xml:space="preserve"> </w:t>
      </w:r>
      <w:r>
        <w:t xml:space="preserve">If seeking to model expected capital investments, users should use the expected activation year described by </w:t>
      </w:r>
      <w:hyperlink r:id="rId83" w:history="1">
        <w:r w:rsidR="00E0055D">
          <w:rPr>
            <w:rStyle w:val="Hyperlink"/>
          </w:rPr>
          <w:t>SEC</w:t>
        </w:r>
      </w:hyperlink>
      <w:hyperlink r:id="rId84" w:history="1">
        <w:r w:rsidR="00E0055D">
          <w:rPr>
            <w:rStyle w:val="Hyperlink"/>
          </w:rPr>
          <w:t xml:space="preserve"> 10-K</w:t>
        </w:r>
      </w:hyperlink>
      <w:r>
        <w:t>s and public service documents. Any year will suffice for experimental purposes.</w:t>
      </w:r>
    </w:p>
    <w:p w14:paraId="061405F4" w14:textId="77777777" w:rsidR="00D81094" w:rsidRDefault="00D81094" w:rsidP="00BC7979">
      <w:pPr>
        <w:spacing w:line="276" w:lineRule="auto"/>
        <w:ind w:left="144" w:firstLine="720"/>
      </w:pPr>
    </w:p>
    <w:p w14:paraId="4266A05B" w14:textId="77777777" w:rsidR="00D81094" w:rsidRDefault="00D81094" w:rsidP="00BC7979">
      <w:pPr>
        <w:spacing w:line="276" w:lineRule="auto"/>
        <w:ind w:left="144" w:firstLine="720"/>
      </w:pPr>
    </w:p>
    <w:p w14:paraId="76229A6C" w14:textId="77777777" w:rsidR="00D81094" w:rsidRDefault="00D81094" w:rsidP="00BC7979">
      <w:pPr>
        <w:spacing w:line="276" w:lineRule="auto"/>
        <w:ind w:left="144" w:firstLine="720"/>
      </w:pPr>
    </w:p>
    <w:p w14:paraId="288B197F" w14:textId="77777777" w:rsidR="00D81094" w:rsidRDefault="00D81094" w:rsidP="00BC7979">
      <w:pPr>
        <w:spacing w:line="276" w:lineRule="auto"/>
        <w:ind w:left="144" w:firstLine="720"/>
      </w:pPr>
    </w:p>
    <w:p w14:paraId="7B5DE524" w14:textId="77777777" w:rsidR="00D81094" w:rsidRDefault="00D81094" w:rsidP="00BC7979">
      <w:pPr>
        <w:spacing w:line="276" w:lineRule="auto"/>
        <w:ind w:left="144" w:firstLine="720"/>
      </w:pPr>
    </w:p>
    <w:p w14:paraId="5C2C8545" w14:textId="77777777" w:rsidR="00D81094" w:rsidRDefault="00D81094" w:rsidP="00BC7979">
      <w:pPr>
        <w:spacing w:line="276" w:lineRule="auto"/>
        <w:ind w:left="144" w:firstLine="720"/>
      </w:pPr>
    </w:p>
    <w:p w14:paraId="33019730" w14:textId="77777777" w:rsidR="00D81094" w:rsidRDefault="00D81094" w:rsidP="00BC7979">
      <w:pPr>
        <w:spacing w:line="276" w:lineRule="auto"/>
        <w:ind w:left="144" w:firstLine="720"/>
      </w:pPr>
    </w:p>
    <w:p w14:paraId="5F11CE39" w14:textId="77777777" w:rsidR="00D81094" w:rsidRDefault="00D81094" w:rsidP="00BC7979">
      <w:pPr>
        <w:spacing w:line="276" w:lineRule="auto"/>
        <w:ind w:left="144" w:firstLine="720"/>
      </w:pPr>
    </w:p>
    <w:p w14:paraId="7F1D9BF8" w14:textId="77777777" w:rsidR="00BC7979" w:rsidRDefault="00BC7979" w:rsidP="00D81094">
      <w:pPr>
        <w:spacing w:line="276" w:lineRule="auto"/>
        <w:ind w:left="144" w:firstLine="576"/>
      </w:pPr>
      <w:r>
        <w:t>Cost Recovery Time Series</w:t>
      </w:r>
    </w:p>
    <w:p w14:paraId="2DF58270" w14:textId="77777777" w:rsidR="00BC7979" w:rsidRPr="008F1277" w:rsidRDefault="00BC7979" w:rsidP="00BC7979">
      <w:pPr>
        <w:spacing w:line="276" w:lineRule="auto"/>
        <w:ind w:left="144" w:firstLine="720"/>
      </w:pPr>
      <w:r w:rsidRPr="008F1277">
        <w:t xml:space="preserve">Units: </w:t>
      </w:r>
      <w:r>
        <w:t>$ (million)</w:t>
      </w:r>
    </w:p>
    <w:p w14:paraId="3E99DA94" w14:textId="77777777" w:rsidR="00BC7979" w:rsidRPr="008F1277" w:rsidRDefault="00BC7979" w:rsidP="00BC7979">
      <w:pPr>
        <w:spacing w:line="276" w:lineRule="auto"/>
        <w:ind w:left="144" w:firstLine="720"/>
      </w:pPr>
      <w:r w:rsidRPr="008F1277">
        <w:t>Description:</w:t>
      </w:r>
    </w:p>
    <w:p w14:paraId="2F633C14" w14:textId="77777777" w:rsidR="00BC7979" w:rsidRPr="008F1277" w:rsidRDefault="00BC7979" w:rsidP="00BC7979">
      <w:pPr>
        <w:spacing w:line="276" w:lineRule="auto"/>
        <w:ind w:left="1440"/>
      </w:pPr>
      <w:r>
        <w:t xml:space="preserve">This input asks the user to identify the amount of the capital investment’s costs that will be recovered in each year. These values are to be entered into the time-series rows to the right of the input descriptions. These costs can be recovered prior to the activation year or after the activation year. The user must specify a value for each year, using zero if no costs from the investment will be recovered in that year. </w:t>
      </w:r>
    </w:p>
    <w:p w14:paraId="04FCDCF8" w14:textId="61339E6E" w:rsidR="00BC7979" w:rsidRDefault="00BC7979" w:rsidP="00E22B98">
      <w:pPr>
        <w:spacing w:line="276" w:lineRule="auto"/>
        <w:ind w:left="1440" w:hanging="540"/>
      </w:pPr>
      <w:r w:rsidRPr="008F1277">
        <w:t>Source:</w:t>
      </w:r>
      <w:r w:rsidR="00D81094" w:rsidRPr="008F1277" w:rsidDel="00D81094">
        <w:t xml:space="preserve"> </w:t>
      </w:r>
      <w:r>
        <w:t xml:space="preserve">If seeking to model expected capital investments, users should use the any information available from </w:t>
      </w:r>
      <w:hyperlink r:id="rId85" w:history="1">
        <w:r w:rsidR="00E0055D">
          <w:rPr>
            <w:rStyle w:val="Hyperlink"/>
          </w:rPr>
          <w:t>SEC</w:t>
        </w:r>
      </w:hyperlink>
      <w:hyperlink r:id="rId86" w:history="1">
        <w:r w:rsidR="00E0055D">
          <w:rPr>
            <w:rStyle w:val="Hyperlink"/>
          </w:rPr>
          <w:t xml:space="preserve"> 10-K</w:t>
        </w:r>
      </w:hyperlink>
      <w:r>
        <w:t>s and public service documents to identify the expected schedule of cost recovery.</w:t>
      </w:r>
    </w:p>
    <w:p w14:paraId="73B5CA51" w14:textId="77777777" w:rsidR="00BC7979" w:rsidRDefault="00BC7979" w:rsidP="00BC7979">
      <w:pPr>
        <w:spacing w:line="276" w:lineRule="auto"/>
        <w:ind w:left="1440"/>
        <w:rPr>
          <w:rFonts w:ascii="Calibri" w:hAnsi="Calibri" w:cs="Calibri"/>
          <w:b/>
          <w:bCs/>
          <w:color w:val="4F81BD"/>
          <w:sz w:val="26"/>
          <w:szCs w:val="26"/>
        </w:rPr>
      </w:pPr>
    </w:p>
    <w:p w14:paraId="201F766B" w14:textId="77777777" w:rsidR="00BC7979" w:rsidRDefault="00BC7979" w:rsidP="00BC7979">
      <w:pPr>
        <w:spacing w:line="276" w:lineRule="auto"/>
        <w:rPr>
          <w:rFonts w:ascii="Calibri" w:hAnsi="Calibri" w:cs="Calibri"/>
          <w:b/>
          <w:bCs/>
          <w:color w:val="4F81BD"/>
          <w:sz w:val="26"/>
          <w:szCs w:val="26"/>
        </w:rPr>
      </w:pPr>
      <w:r>
        <w:rPr>
          <w:noProof/>
          <w:lang w:eastAsia="en-US"/>
        </w:rPr>
        <w:drawing>
          <wp:inline distT="0" distB="0" distL="0" distR="0" wp14:anchorId="718F7BEE" wp14:editId="28925997">
            <wp:extent cx="5485765" cy="5397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5765" cy="539750"/>
                    </a:xfrm>
                    <a:prstGeom prst="rect">
                      <a:avLst/>
                    </a:prstGeom>
                    <a:solidFill>
                      <a:srgbClr val="FFFFFF"/>
                    </a:solidFill>
                    <a:ln>
                      <a:noFill/>
                    </a:ln>
                  </pic:spPr>
                </pic:pic>
              </a:graphicData>
            </a:graphic>
          </wp:inline>
        </w:drawing>
      </w:r>
    </w:p>
    <w:p w14:paraId="720EBD69" w14:textId="77777777" w:rsidR="00BC7979" w:rsidRDefault="00BC7979" w:rsidP="00BC7979">
      <w:pPr>
        <w:spacing w:line="276" w:lineRule="auto"/>
        <w:rPr>
          <w:rFonts w:ascii="Calibri" w:hAnsi="Calibri" w:cs="Calibri"/>
          <w:b/>
          <w:bCs/>
          <w:color w:val="4F81BD"/>
          <w:sz w:val="26"/>
          <w:szCs w:val="26"/>
        </w:rPr>
      </w:pPr>
    </w:p>
    <w:p w14:paraId="3A855D7B" w14:textId="77777777" w:rsidR="00BC7979" w:rsidRDefault="00BC7979" w:rsidP="00BC7979">
      <w:pPr>
        <w:pStyle w:val="Heading3"/>
        <w:spacing w:line="276" w:lineRule="auto"/>
        <w:rPr>
          <w:rFonts w:cs="Calibri"/>
          <w:sz w:val="26"/>
          <w:szCs w:val="26"/>
        </w:rPr>
      </w:pPr>
      <w:bookmarkStart w:id="33" w:name="_Toc278464905"/>
      <w:r>
        <w:t>Rate Case Sub-Module</w:t>
      </w:r>
      <w:bookmarkEnd w:id="33"/>
    </w:p>
    <w:p w14:paraId="296006BC" w14:textId="77777777" w:rsidR="00BC7979" w:rsidRDefault="00BC7979" w:rsidP="00BC7979">
      <w:pPr>
        <w:spacing w:line="276" w:lineRule="auto"/>
      </w:pPr>
    </w:p>
    <w:p w14:paraId="63EF25F9" w14:textId="77777777" w:rsidR="00BC7979" w:rsidRDefault="00BC7979" w:rsidP="00E22B98">
      <w:pPr>
        <w:spacing w:line="276" w:lineRule="auto"/>
        <w:ind w:firstLine="720"/>
      </w:pPr>
      <w:r>
        <w:t>The Rate Case Sub-module is intended to capture the effects of different styles of rate case proceedings among various Public Service Commissions. While some Public Service Commissions hold rate cases on the basis of passing years, other Public Service Commissions respond to extreme changes in the utility’s ROE by holding rate cases.</w:t>
      </w:r>
    </w:p>
    <w:p w14:paraId="6890ACD4" w14:textId="77777777" w:rsidR="00BC7979" w:rsidRDefault="00BC7979" w:rsidP="00BC7979">
      <w:pPr>
        <w:spacing w:line="276" w:lineRule="auto"/>
      </w:pPr>
    </w:p>
    <w:p w14:paraId="5486347A" w14:textId="15B945D6" w:rsidR="00BB7170" w:rsidRDefault="00BB7170" w:rsidP="00BB7170">
      <w:pPr>
        <w:spacing w:line="276" w:lineRule="auto"/>
        <w:jc w:val="center"/>
      </w:pPr>
      <w:r>
        <w:rPr>
          <w:noProof/>
          <w:lang w:eastAsia="en-US"/>
        </w:rPr>
        <w:drawing>
          <wp:inline distT="0" distB="0" distL="0" distR="0" wp14:anchorId="562DADA8" wp14:editId="252E4B29">
            <wp:extent cx="3657600" cy="1309303"/>
            <wp:effectExtent l="0" t="0" r="0" b="12065"/>
            <wp:docPr id="22" name="Picture 22" descr="Macintosh HD:Users:Ben:Desktop:Screen Shot 2014-11-11 at 2.1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esktop:Screen Shot 2014-11-11 at 2.17.02 P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18" cy="1309309"/>
                    </a:xfrm>
                    <a:prstGeom prst="rect">
                      <a:avLst/>
                    </a:prstGeom>
                    <a:noFill/>
                    <a:ln>
                      <a:noFill/>
                    </a:ln>
                  </pic:spPr>
                </pic:pic>
              </a:graphicData>
            </a:graphic>
          </wp:inline>
        </w:drawing>
      </w:r>
    </w:p>
    <w:p w14:paraId="105025EB" w14:textId="77777777" w:rsidR="00201D92" w:rsidRDefault="00201D92" w:rsidP="00BC7979">
      <w:pPr>
        <w:spacing w:line="276" w:lineRule="auto"/>
        <w:rPr>
          <w:rFonts w:ascii="Calibri" w:hAnsi="Calibri" w:cs="Calibri"/>
          <w:b/>
          <w:bCs/>
          <w:color w:val="4F81BD"/>
          <w:sz w:val="26"/>
          <w:szCs w:val="26"/>
        </w:rPr>
      </w:pPr>
    </w:p>
    <w:p w14:paraId="4AED977A" w14:textId="77777777" w:rsidR="002C60BB" w:rsidRDefault="002C60BB">
      <w:pPr>
        <w:suppressAutoHyphens w:val="0"/>
      </w:pPr>
      <w:r>
        <w:br w:type="page"/>
      </w:r>
    </w:p>
    <w:p w14:paraId="1F9676C2" w14:textId="6BAF9B81" w:rsidR="00BC7979" w:rsidRPr="00FF3446" w:rsidRDefault="00BC7979" w:rsidP="00BC7979">
      <w:pPr>
        <w:spacing w:line="276" w:lineRule="auto"/>
        <w:ind w:firstLine="720"/>
      </w:pPr>
      <w:r>
        <w:t>Use Timed Rate Cases?</w:t>
      </w:r>
    </w:p>
    <w:p w14:paraId="6A56B868" w14:textId="77777777" w:rsidR="00BC7979" w:rsidRPr="00FF3446" w:rsidRDefault="00BC7979" w:rsidP="00BC7979">
      <w:pPr>
        <w:spacing w:line="276" w:lineRule="auto"/>
        <w:ind w:left="144" w:firstLine="720"/>
      </w:pPr>
      <w:r w:rsidRPr="00FF3446">
        <w:t xml:space="preserve">Units: </w:t>
      </w:r>
      <w:r>
        <w:t>Boolean</w:t>
      </w:r>
    </w:p>
    <w:p w14:paraId="1BED5602" w14:textId="77777777" w:rsidR="00BC7979" w:rsidRPr="00FF3446" w:rsidRDefault="00BC7979" w:rsidP="00BC7979">
      <w:pPr>
        <w:spacing w:line="276" w:lineRule="auto"/>
        <w:ind w:left="144" w:firstLine="720"/>
      </w:pPr>
      <w:r w:rsidRPr="00FF3446">
        <w:t>Description:</w:t>
      </w:r>
    </w:p>
    <w:p w14:paraId="7B09579A" w14:textId="03ECF8E7" w:rsidR="00BC7979" w:rsidRPr="00FF3446" w:rsidRDefault="00BC7979" w:rsidP="00BC7979">
      <w:pPr>
        <w:spacing w:line="276" w:lineRule="auto"/>
        <w:ind w:left="1440"/>
      </w:pPr>
      <w:r w:rsidRPr="00FF3446">
        <w:t xml:space="preserve">This input is asking </w:t>
      </w:r>
      <w:r>
        <w:t>whether the public service commission holds rate case hearings periodically, simply on the basis of the number of years since the prior rate case.</w:t>
      </w:r>
      <w:r w:rsidR="003009BC">
        <w:t xml:space="preserve"> There may not be a formal rule about the timing of rate cases, in which case the history of rate case activity can be used to form an appropriate value.</w:t>
      </w:r>
    </w:p>
    <w:p w14:paraId="370D00B6" w14:textId="3E9CB932" w:rsidR="00BC7979" w:rsidRDefault="00BC7979" w:rsidP="00E22B98">
      <w:pPr>
        <w:spacing w:line="276" w:lineRule="auto"/>
        <w:ind w:left="1440" w:hanging="540"/>
      </w:pPr>
      <w:r w:rsidRPr="00FF3446">
        <w:t>Source:</w:t>
      </w:r>
      <w:r w:rsidR="00D81094">
        <w:t xml:space="preserve"> </w:t>
      </w:r>
      <w:r w:rsidR="00272DD5">
        <w:t>PSC filings</w:t>
      </w:r>
      <w:r w:rsidR="00A436CA">
        <w:t xml:space="preserve"> and PSC rules of governance.</w:t>
      </w:r>
    </w:p>
    <w:p w14:paraId="08E1273A" w14:textId="77777777" w:rsidR="00ED71B2" w:rsidRDefault="00ED71B2" w:rsidP="00BC7979">
      <w:pPr>
        <w:spacing w:line="276" w:lineRule="auto"/>
        <w:ind w:firstLine="720"/>
      </w:pPr>
    </w:p>
    <w:p w14:paraId="40AA9F22" w14:textId="77777777" w:rsidR="00BC7979" w:rsidRPr="008F1277" w:rsidRDefault="00BC7979" w:rsidP="00BC7979">
      <w:pPr>
        <w:spacing w:line="276" w:lineRule="auto"/>
        <w:ind w:firstLine="720"/>
      </w:pPr>
      <w:r>
        <w:t>Year of Next Rate Case</w:t>
      </w:r>
    </w:p>
    <w:p w14:paraId="6CA7A4A1" w14:textId="77777777" w:rsidR="00BC7979" w:rsidRPr="008F1277" w:rsidRDefault="00BC7979" w:rsidP="00BC7979">
      <w:pPr>
        <w:spacing w:line="276" w:lineRule="auto"/>
        <w:ind w:left="144" w:firstLine="720"/>
      </w:pPr>
      <w:r w:rsidRPr="008F1277">
        <w:t xml:space="preserve">Units: </w:t>
      </w:r>
      <w:r>
        <w:t>Integer</w:t>
      </w:r>
    </w:p>
    <w:p w14:paraId="7663A70D" w14:textId="77777777" w:rsidR="00BC7979" w:rsidRPr="008F1277" w:rsidRDefault="00BC7979" w:rsidP="00BC7979">
      <w:pPr>
        <w:spacing w:line="276" w:lineRule="auto"/>
        <w:ind w:left="144" w:firstLine="720"/>
      </w:pPr>
      <w:r w:rsidRPr="008F1277">
        <w:t>Description:</w:t>
      </w:r>
    </w:p>
    <w:p w14:paraId="680C9395" w14:textId="77777777" w:rsidR="00BC7979" w:rsidRPr="008F1277" w:rsidRDefault="00BC7979" w:rsidP="00BC7979">
      <w:pPr>
        <w:spacing w:line="276" w:lineRule="auto"/>
        <w:ind w:left="1440"/>
      </w:pPr>
      <w:r w:rsidRPr="008F1277">
        <w:t xml:space="preserve">This input is asking </w:t>
      </w:r>
      <w:r>
        <w:t>in what year of the forecast period (e.g. 0, 1, 2, 3…) the next rate case is expected to be held.</w:t>
      </w:r>
    </w:p>
    <w:p w14:paraId="5B354FEA" w14:textId="1D7995B2" w:rsidR="00BC7979" w:rsidRDefault="00BC7979" w:rsidP="00E22B98">
      <w:pPr>
        <w:spacing w:line="276" w:lineRule="auto"/>
        <w:ind w:left="1440" w:hanging="540"/>
      </w:pPr>
      <w:r w:rsidRPr="008F1277">
        <w:t>Source:</w:t>
      </w:r>
      <w:r w:rsidR="00D81094" w:rsidRPr="008F1277" w:rsidDel="00D81094">
        <w:t xml:space="preserve"> </w:t>
      </w:r>
      <w:r>
        <w:t xml:space="preserve">The user should refer to public service commission dockets, histories of rate case behavior by the public service commission, and the public service commission code in order to identify the year of the next upcoming rate case. </w:t>
      </w:r>
    </w:p>
    <w:p w14:paraId="2747A724" w14:textId="77777777" w:rsidR="00BC7979" w:rsidRDefault="00BC7979" w:rsidP="00BC7979">
      <w:pPr>
        <w:spacing w:line="276" w:lineRule="auto"/>
        <w:rPr>
          <w:rFonts w:ascii="Calibri" w:hAnsi="Calibri" w:cs="Calibri"/>
          <w:b/>
          <w:bCs/>
          <w:color w:val="4F81BD"/>
          <w:sz w:val="26"/>
          <w:szCs w:val="26"/>
        </w:rPr>
      </w:pPr>
    </w:p>
    <w:p w14:paraId="02E3CF79" w14:textId="77777777" w:rsidR="00BC7979" w:rsidRPr="008F1277" w:rsidRDefault="00BC7979" w:rsidP="00BC7979">
      <w:pPr>
        <w:spacing w:line="276" w:lineRule="auto"/>
        <w:ind w:firstLine="720"/>
      </w:pPr>
      <w:r>
        <w:t>Years Between Rate Cases</w:t>
      </w:r>
    </w:p>
    <w:p w14:paraId="789AFBB1" w14:textId="77777777" w:rsidR="00BC7979" w:rsidRPr="008F1277" w:rsidRDefault="00BC7979" w:rsidP="00BC7979">
      <w:pPr>
        <w:spacing w:line="276" w:lineRule="auto"/>
        <w:ind w:left="144" w:firstLine="720"/>
      </w:pPr>
      <w:r w:rsidRPr="008F1277">
        <w:t xml:space="preserve">Units: </w:t>
      </w:r>
      <w:r>
        <w:t>Integer</w:t>
      </w:r>
    </w:p>
    <w:p w14:paraId="6CB6B1FB" w14:textId="77777777" w:rsidR="00BC7979" w:rsidRPr="008F1277" w:rsidRDefault="00BC7979" w:rsidP="00BC7979">
      <w:pPr>
        <w:spacing w:line="276" w:lineRule="auto"/>
        <w:ind w:left="144" w:firstLine="720"/>
      </w:pPr>
      <w:r w:rsidRPr="008F1277">
        <w:t>Description:</w:t>
      </w:r>
    </w:p>
    <w:p w14:paraId="37D6E4B1" w14:textId="77777777" w:rsidR="00BC7979" w:rsidRPr="008F1277" w:rsidRDefault="00BC7979" w:rsidP="00BC7979">
      <w:pPr>
        <w:spacing w:line="276" w:lineRule="auto"/>
        <w:ind w:left="1440"/>
      </w:pPr>
      <w:r>
        <w:t>This input is asking for what the normal duration between rate cases is in the number of years.</w:t>
      </w:r>
    </w:p>
    <w:p w14:paraId="6A961BC8" w14:textId="5C70A208" w:rsidR="00BC7979" w:rsidRDefault="00BC7979" w:rsidP="00E22B98">
      <w:pPr>
        <w:spacing w:line="276" w:lineRule="auto"/>
        <w:ind w:left="1440" w:hanging="540"/>
        <w:rPr>
          <w:rFonts w:ascii="Calibri" w:hAnsi="Calibri" w:cs="Calibri"/>
          <w:b/>
          <w:bCs/>
          <w:color w:val="4F81BD"/>
          <w:sz w:val="26"/>
          <w:szCs w:val="26"/>
        </w:rPr>
      </w:pPr>
      <w:r w:rsidRPr="008F1277">
        <w:t>Source:</w:t>
      </w:r>
      <w:r w:rsidR="00D81094" w:rsidRPr="008F1277" w:rsidDel="00D81094">
        <w:t xml:space="preserve"> </w:t>
      </w:r>
      <w:r>
        <w:t>The user should refer to public service commission dockets, histories of rate case behavior by the public service commission, and the public service commission code in order to identify the usual number of years between rate cases.</w:t>
      </w:r>
    </w:p>
    <w:p w14:paraId="4165BBD1" w14:textId="77777777" w:rsidR="00D81094" w:rsidRDefault="00D81094" w:rsidP="00BC7979">
      <w:pPr>
        <w:spacing w:line="276" w:lineRule="auto"/>
        <w:ind w:firstLine="720"/>
      </w:pPr>
    </w:p>
    <w:p w14:paraId="4FEC0A07" w14:textId="77777777" w:rsidR="00BC7979" w:rsidRPr="008F1277" w:rsidRDefault="00BC7979" w:rsidP="00BC7979">
      <w:pPr>
        <w:spacing w:line="276" w:lineRule="auto"/>
        <w:ind w:firstLine="720"/>
      </w:pPr>
      <w:r>
        <w:t>Use ROE-Driven Rate Cases?</w:t>
      </w:r>
    </w:p>
    <w:p w14:paraId="2D49956C" w14:textId="77777777" w:rsidR="00BC7979" w:rsidRPr="008F1277" w:rsidRDefault="00BC7979" w:rsidP="00BC7979">
      <w:pPr>
        <w:spacing w:line="276" w:lineRule="auto"/>
        <w:ind w:left="144" w:firstLine="720"/>
      </w:pPr>
      <w:r w:rsidRPr="008F1277">
        <w:t xml:space="preserve">Units: </w:t>
      </w:r>
      <w:r>
        <w:t>Boolean</w:t>
      </w:r>
    </w:p>
    <w:p w14:paraId="7AF612C4" w14:textId="77777777" w:rsidR="00BC7979" w:rsidRPr="008F1277" w:rsidRDefault="00BC7979" w:rsidP="00BC7979">
      <w:pPr>
        <w:spacing w:line="276" w:lineRule="auto"/>
        <w:ind w:left="144" w:firstLine="720"/>
      </w:pPr>
      <w:r w:rsidRPr="008F1277">
        <w:t>Description:</w:t>
      </w:r>
    </w:p>
    <w:p w14:paraId="4D3AF4CB" w14:textId="77777777" w:rsidR="00BC7979" w:rsidRPr="008F1277" w:rsidRDefault="00BC7979" w:rsidP="00BC7979">
      <w:pPr>
        <w:spacing w:line="276" w:lineRule="auto"/>
        <w:ind w:left="1440"/>
      </w:pPr>
      <w:r>
        <w:t>This input is asking whether the public service commission uses the ROE to determine when rate cases will be held.</w:t>
      </w:r>
    </w:p>
    <w:p w14:paraId="1DD156C9" w14:textId="6804FAF9" w:rsidR="00BC7979" w:rsidRDefault="00BC7979" w:rsidP="00E22B98">
      <w:pPr>
        <w:spacing w:line="276" w:lineRule="auto"/>
        <w:ind w:left="1440" w:hanging="540"/>
        <w:rPr>
          <w:rFonts w:ascii="Calibri" w:hAnsi="Calibri" w:cs="Calibri"/>
          <w:b/>
          <w:bCs/>
          <w:color w:val="4F81BD"/>
          <w:sz w:val="26"/>
          <w:szCs w:val="26"/>
        </w:rPr>
      </w:pPr>
      <w:r w:rsidRPr="008F1277">
        <w:t>Source:</w:t>
      </w:r>
      <w:r w:rsidR="00D81094" w:rsidRPr="008F1277" w:rsidDel="00D81094">
        <w:t xml:space="preserve"> </w:t>
      </w:r>
      <w:r>
        <w:t xml:space="preserve">The user should refer to public service commission dockets, histories of rate case behavior by the public service commission, and the public service commission code in order to identify whether the utility firm’s ROE determines whether or not a rate case will be held in a given year. </w:t>
      </w:r>
    </w:p>
    <w:p w14:paraId="7521E4E4" w14:textId="77777777" w:rsidR="00BC7979" w:rsidRPr="008F1277" w:rsidRDefault="00BC7979" w:rsidP="00BC7979">
      <w:pPr>
        <w:spacing w:line="276" w:lineRule="auto"/>
        <w:ind w:firstLine="720"/>
      </w:pPr>
      <w:r>
        <w:t>ROE Upper Bound</w:t>
      </w:r>
    </w:p>
    <w:p w14:paraId="3056FB70" w14:textId="77777777" w:rsidR="00BC7979" w:rsidRPr="008F1277" w:rsidRDefault="00BC7979" w:rsidP="00BC7979">
      <w:pPr>
        <w:spacing w:line="276" w:lineRule="auto"/>
        <w:ind w:left="144" w:firstLine="720"/>
      </w:pPr>
      <w:r w:rsidRPr="008F1277">
        <w:t xml:space="preserve">Units: </w:t>
      </w:r>
      <w:r>
        <w:t>percentage</w:t>
      </w:r>
    </w:p>
    <w:p w14:paraId="13F8C4CB" w14:textId="77777777" w:rsidR="00BC7979" w:rsidRPr="008F1277" w:rsidRDefault="00BC7979" w:rsidP="00BC7979">
      <w:pPr>
        <w:spacing w:line="276" w:lineRule="auto"/>
        <w:ind w:left="144" w:firstLine="720"/>
      </w:pPr>
      <w:r w:rsidRPr="008F1277">
        <w:t>Description:</w:t>
      </w:r>
    </w:p>
    <w:p w14:paraId="49A24FB3" w14:textId="222EAF43" w:rsidR="00BC7979" w:rsidRPr="008F1277" w:rsidRDefault="00BC7979" w:rsidP="00BC7979">
      <w:pPr>
        <w:spacing w:line="276" w:lineRule="auto"/>
        <w:ind w:left="1440"/>
      </w:pPr>
      <w:r>
        <w:t xml:space="preserve">This input asks what value of ROE must be exceeded before a rate case will be held. If the utility’s ROE – measuring the profits of the utility firm – exceed the ROE Upper Bound, it signals that the utility is earning much more in revenue than its costs of supply. </w:t>
      </w:r>
      <w:r w:rsidR="0013262B">
        <w:t xml:space="preserve">The model assumes a </w:t>
      </w:r>
      <w:r>
        <w:t xml:space="preserve">rate case </w:t>
      </w:r>
      <w:r w:rsidR="00C44953">
        <w:t>is</w:t>
      </w:r>
      <w:r>
        <w:t xml:space="preserve"> held </w:t>
      </w:r>
      <w:r w:rsidR="00C44953">
        <w:t xml:space="preserve">and </w:t>
      </w:r>
      <w:r>
        <w:t>adjust</w:t>
      </w:r>
      <w:r w:rsidR="00C44953">
        <w:t>s</w:t>
      </w:r>
      <w:r>
        <w:t xml:space="preserve"> rates so that the utility’s earnings are commensurate with its costs of supply.</w:t>
      </w:r>
      <w:r w:rsidR="0013262B">
        <w:t xml:space="preserve"> </w:t>
      </w:r>
    </w:p>
    <w:p w14:paraId="735288C4" w14:textId="74066891" w:rsidR="00BC7979" w:rsidRDefault="00BC7979" w:rsidP="00E22B98">
      <w:pPr>
        <w:spacing w:line="276" w:lineRule="auto"/>
        <w:ind w:left="1440" w:hanging="540"/>
        <w:rPr>
          <w:rFonts w:ascii="Calibri" w:hAnsi="Calibri" w:cs="Calibri"/>
          <w:b/>
          <w:bCs/>
          <w:color w:val="4F81BD"/>
          <w:sz w:val="26"/>
          <w:szCs w:val="26"/>
        </w:rPr>
      </w:pPr>
      <w:r w:rsidRPr="008F1277">
        <w:t>Source:</w:t>
      </w:r>
      <w:r w:rsidR="00D81094" w:rsidRPr="008F1277" w:rsidDel="00D81094">
        <w:t xml:space="preserve"> </w:t>
      </w:r>
      <w:r>
        <w:t>The user should refer to public service commission dockets, histories of rate case behavior by the public service commission, and the public service commission code in order to identify the ROE upper bound used by the public service commission.</w:t>
      </w:r>
    </w:p>
    <w:p w14:paraId="5F62DCFC" w14:textId="77777777" w:rsidR="00ED71B2" w:rsidRDefault="00ED71B2" w:rsidP="00BC7979">
      <w:pPr>
        <w:spacing w:line="276" w:lineRule="auto"/>
        <w:rPr>
          <w:rFonts w:ascii="Calibri" w:hAnsi="Calibri" w:cs="Calibri"/>
          <w:b/>
          <w:bCs/>
          <w:color w:val="4F81BD"/>
          <w:sz w:val="26"/>
          <w:szCs w:val="26"/>
        </w:rPr>
      </w:pPr>
    </w:p>
    <w:p w14:paraId="6EC48C4E" w14:textId="77777777" w:rsidR="00BC7979" w:rsidRPr="008F1277" w:rsidRDefault="00BC7979" w:rsidP="00BC7979">
      <w:pPr>
        <w:spacing w:line="276" w:lineRule="auto"/>
        <w:ind w:firstLine="720"/>
      </w:pPr>
      <w:r>
        <w:t>ROE Lower Bound</w:t>
      </w:r>
    </w:p>
    <w:p w14:paraId="05478799" w14:textId="77777777" w:rsidR="00BC7979" w:rsidRPr="008F1277" w:rsidRDefault="00BC7979" w:rsidP="00BC7979">
      <w:pPr>
        <w:spacing w:line="276" w:lineRule="auto"/>
        <w:ind w:left="144" w:firstLine="720"/>
      </w:pPr>
      <w:r w:rsidRPr="008F1277">
        <w:t xml:space="preserve">Units: </w:t>
      </w:r>
      <w:r>
        <w:t>percentage</w:t>
      </w:r>
    </w:p>
    <w:p w14:paraId="2429A46B" w14:textId="77777777" w:rsidR="00BC7979" w:rsidRPr="008F1277" w:rsidRDefault="00BC7979" w:rsidP="00BC7979">
      <w:pPr>
        <w:spacing w:line="276" w:lineRule="auto"/>
        <w:ind w:left="144" w:firstLine="720"/>
      </w:pPr>
      <w:r w:rsidRPr="008F1277">
        <w:t>Description:</w:t>
      </w:r>
    </w:p>
    <w:p w14:paraId="6C955A4F" w14:textId="06946D64" w:rsidR="00BC7979" w:rsidRPr="008F1277" w:rsidRDefault="00BC7979" w:rsidP="00BC7979">
      <w:pPr>
        <w:spacing w:line="276" w:lineRule="auto"/>
        <w:ind w:left="1440"/>
      </w:pPr>
      <w:r>
        <w:t xml:space="preserve">This input asks below what value of ROE the utility’s ROE must fall short before a rate case will be held. If the utility’s ROE – measuring the profits of the utility firm – falls below the ROE Lower Bound, it signals that the utility is earning less in revenue than its costs of supply. </w:t>
      </w:r>
      <w:r w:rsidR="00C44953">
        <w:t>The model assumes a</w:t>
      </w:r>
      <w:r>
        <w:t xml:space="preserve"> rate case will be </w:t>
      </w:r>
      <w:proofErr w:type="gramStart"/>
      <w:r>
        <w:t xml:space="preserve">held  </w:t>
      </w:r>
      <w:r w:rsidR="00C44953">
        <w:t>and</w:t>
      </w:r>
      <w:proofErr w:type="gramEnd"/>
      <w:r w:rsidR="00C44953">
        <w:t xml:space="preserve"> </w:t>
      </w:r>
      <w:r>
        <w:t>adjust</w:t>
      </w:r>
      <w:r w:rsidR="00C44953">
        <w:t>s</w:t>
      </w:r>
      <w:r>
        <w:t xml:space="preserve"> rates so that the utility’s earnings are commensurate with its costs of supply.</w:t>
      </w:r>
    </w:p>
    <w:p w14:paraId="37E0E02E" w14:textId="073547D5" w:rsidR="00ED71B2" w:rsidRDefault="00BC7979" w:rsidP="00E22B98">
      <w:pPr>
        <w:spacing w:line="276" w:lineRule="auto"/>
        <w:ind w:left="1440" w:hanging="540"/>
        <w:rPr>
          <w:rFonts w:ascii="Calibri" w:hAnsi="Calibri" w:cs="Calibri"/>
          <w:b/>
          <w:bCs/>
          <w:noProof/>
          <w:color w:val="4F81BD"/>
          <w:sz w:val="26"/>
          <w:szCs w:val="26"/>
          <w:lang w:eastAsia="en-US"/>
        </w:rPr>
      </w:pPr>
      <w:r w:rsidRPr="008F1277">
        <w:t>Source:</w:t>
      </w:r>
      <w:r w:rsidR="00201D92" w:rsidRPr="008F1277" w:rsidDel="00201D92">
        <w:t xml:space="preserve"> </w:t>
      </w:r>
      <w:r>
        <w:t>The user should refer to public service commission dockets, histories of rate case behavior by the public service commission, and the public service commission code in order to identify the ROE lower bound used by</w:t>
      </w:r>
      <w:r w:rsidR="00ED71B2">
        <w:t xml:space="preserve"> the public service commission.</w:t>
      </w:r>
      <w:bookmarkEnd w:id="27"/>
      <w:r w:rsidR="00ED71B2" w:rsidRPr="00ED71B2">
        <w:rPr>
          <w:rFonts w:ascii="Calibri" w:hAnsi="Calibri" w:cs="Calibri"/>
          <w:b/>
          <w:bCs/>
          <w:noProof/>
          <w:color w:val="4F81BD"/>
          <w:sz w:val="26"/>
          <w:szCs w:val="26"/>
          <w:lang w:eastAsia="en-US"/>
        </w:rPr>
        <w:t xml:space="preserve"> </w:t>
      </w:r>
    </w:p>
    <w:p w14:paraId="6083C628" w14:textId="2405B2A9" w:rsidR="007E3B68" w:rsidRDefault="007E3B68" w:rsidP="00E22B98">
      <w:pPr>
        <w:tabs>
          <w:tab w:val="left" w:pos="-180"/>
        </w:tabs>
        <w:spacing w:line="276" w:lineRule="auto"/>
        <w:ind w:left="450"/>
        <w:rPr>
          <w:rFonts w:ascii="Calibri" w:hAnsi="Calibri" w:cs="Calibri"/>
          <w:b/>
          <w:bCs/>
          <w:color w:val="4F81BD"/>
          <w:sz w:val="26"/>
          <w:szCs w:val="26"/>
        </w:rPr>
      </w:pPr>
    </w:p>
    <w:p w14:paraId="70AA9783" w14:textId="463C9A80" w:rsidR="00201D92" w:rsidRDefault="00201D92">
      <w:pPr>
        <w:suppressAutoHyphens w:val="0"/>
        <w:rPr>
          <w:rFonts w:ascii="Calibri" w:hAnsi="Calibri" w:cs="Calibri"/>
          <w:b/>
          <w:bCs/>
          <w:color w:val="4F81BD"/>
          <w:sz w:val="26"/>
          <w:szCs w:val="26"/>
        </w:rPr>
      </w:pPr>
      <w:r>
        <w:rPr>
          <w:rFonts w:ascii="Calibri" w:hAnsi="Calibri" w:cs="Calibri"/>
          <w:b/>
          <w:bCs/>
          <w:color w:val="4F81BD"/>
          <w:sz w:val="26"/>
          <w:szCs w:val="26"/>
        </w:rPr>
        <w:br w:type="page"/>
      </w:r>
    </w:p>
    <w:p w14:paraId="6707811A" w14:textId="3D689CF9" w:rsidR="0016502F" w:rsidRDefault="0016502F" w:rsidP="00E22B98">
      <w:pPr>
        <w:pStyle w:val="Heading2"/>
      </w:pPr>
      <w:bookmarkStart w:id="34" w:name="__RefHeading__728_1188058509"/>
      <w:bookmarkStart w:id="35" w:name="__RefHeading__732_1188058509"/>
      <w:bookmarkStart w:id="36" w:name="_Toc278464906"/>
      <w:bookmarkStart w:id="37" w:name="_Toc376263705"/>
      <w:bookmarkStart w:id="38" w:name="_Toc376263769"/>
      <w:bookmarkEnd w:id="28"/>
      <w:bookmarkEnd w:id="29"/>
      <w:bookmarkEnd w:id="34"/>
      <w:bookmarkEnd w:id="35"/>
      <w:r>
        <w:t>Cost-Benefit Analysis</w:t>
      </w:r>
      <w:r w:rsidR="00864636">
        <w:t xml:space="preserve"> Sector</w:t>
      </w:r>
      <w:bookmarkEnd w:id="36"/>
    </w:p>
    <w:p w14:paraId="49AB0C60" w14:textId="42068D07" w:rsidR="005E1608" w:rsidRDefault="0016502F" w:rsidP="005E1608">
      <w:pPr>
        <w:pStyle w:val="BodyText"/>
        <w:ind w:firstLine="576"/>
      </w:pPr>
      <w:r>
        <w:t xml:space="preserve">The Cost-Benefit Analysis (CBA) </w:t>
      </w:r>
      <w:r w:rsidR="00864636">
        <w:t>Sector contains two modules: the Fundamental Module and the Adju</w:t>
      </w:r>
      <w:r w:rsidR="005E1608">
        <w:t>stment Module. The Fundamental m</w:t>
      </w:r>
      <w:r w:rsidR="00864636">
        <w:t xml:space="preserve">odule collects from the user inputs that are necessary to compute CBA tests and that have not already been collected in other sectors. </w:t>
      </w:r>
      <w:r w:rsidR="005E1608">
        <w:t xml:space="preserve">The Discount Rate sub-module allows the user to set the discount rate for each of the tests separately. The Avoided Capacity Cost sub-module allows the user to enter additional savings beyond those calculated in the tool, such as capacity savings based on the demand savings. CBA Comparison sub-module allows the user to enter the CBA results reported by the utility to make for easy comparison with those from the tool. Finally, the Other CBA Component sub-module allows the user to enter additional component for the different test to tailor them to individual states standard practices. </w:t>
      </w:r>
    </w:p>
    <w:p w14:paraId="105D0A55" w14:textId="77777777" w:rsidR="005E1608" w:rsidRPr="0016502F" w:rsidRDefault="005E1608" w:rsidP="005E1608">
      <w:pPr>
        <w:pStyle w:val="BodyText"/>
        <w:ind w:firstLine="576"/>
      </w:pPr>
    </w:p>
    <w:p w14:paraId="73BFFF99" w14:textId="6917AD5F" w:rsidR="0016502F" w:rsidRDefault="0016502F" w:rsidP="00E22B98">
      <w:pPr>
        <w:pStyle w:val="Heading3"/>
      </w:pPr>
      <w:bookmarkStart w:id="39" w:name="_Toc278464907"/>
      <w:r>
        <w:t>Fundamental Module</w:t>
      </w:r>
      <w:bookmarkEnd w:id="39"/>
    </w:p>
    <w:p w14:paraId="2EDB86C7" w14:textId="1EF49800" w:rsidR="00CB5D19" w:rsidRDefault="00CB5D19" w:rsidP="00CB5D19">
      <w:pPr>
        <w:spacing w:line="276" w:lineRule="auto"/>
        <w:ind w:firstLine="720"/>
      </w:pPr>
      <w:r>
        <w:t>The Fundamental Sub-Module is the core of the Cost-Benefit Analysis sector and contains the following inputs:</w:t>
      </w:r>
    </w:p>
    <w:p w14:paraId="35B911DD" w14:textId="77777777" w:rsidR="002C60BB" w:rsidRDefault="002C60BB" w:rsidP="005250A7"/>
    <w:p w14:paraId="1CDEE9FE" w14:textId="456FF848" w:rsidR="00CB5D19" w:rsidRDefault="001A7CEA" w:rsidP="005250A7">
      <w:pPr>
        <w:jc w:val="center"/>
      </w:pPr>
      <w:r>
        <w:rPr>
          <w:noProof/>
          <w:lang w:eastAsia="en-US"/>
        </w:rPr>
        <w:drawing>
          <wp:inline distT="0" distB="0" distL="0" distR="0" wp14:anchorId="58F376EC" wp14:editId="287C3477">
            <wp:extent cx="3657600" cy="830470"/>
            <wp:effectExtent l="0" t="0" r="0" b="8255"/>
            <wp:docPr id="34" name="Picture 34" descr="Macintosh HD:Users:Ben:Desktop:Screen Shot 2014-11-11 at 3.4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n:Desktop:Screen Shot 2014-11-11 at 3.45.15 PM.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830470"/>
                    </a:xfrm>
                    <a:prstGeom prst="rect">
                      <a:avLst/>
                    </a:prstGeom>
                    <a:noFill/>
                    <a:ln>
                      <a:noFill/>
                    </a:ln>
                  </pic:spPr>
                </pic:pic>
              </a:graphicData>
            </a:graphic>
          </wp:inline>
        </w:drawing>
      </w:r>
    </w:p>
    <w:p w14:paraId="7239E2F3" w14:textId="77777777" w:rsidR="00201D92" w:rsidRDefault="00201D92" w:rsidP="005250A7"/>
    <w:p w14:paraId="6DCFA10E" w14:textId="51629996" w:rsidR="00912189" w:rsidRPr="00912189" w:rsidRDefault="00912189" w:rsidP="005250A7">
      <w:pPr>
        <w:ind w:firstLine="720"/>
        <w:rPr>
          <w:i/>
        </w:rPr>
      </w:pPr>
      <w:r w:rsidRPr="00912189">
        <w:rPr>
          <w:i/>
        </w:rPr>
        <w:t>Participant Cost:</w:t>
      </w:r>
    </w:p>
    <w:p w14:paraId="529316AC" w14:textId="7B830E7C" w:rsidR="00912189" w:rsidRPr="008F1277" w:rsidRDefault="00912189" w:rsidP="005250A7">
      <w:pPr>
        <w:ind w:firstLine="720"/>
      </w:pPr>
      <w:r>
        <w:t>Residential</w:t>
      </w:r>
    </w:p>
    <w:p w14:paraId="6FD9AB95" w14:textId="0C84420A" w:rsidR="00912189" w:rsidRPr="008F1277" w:rsidRDefault="00912189" w:rsidP="005250A7">
      <w:pPr>
        <w:ind w:left="900"/>
      </w:pPr>
      <w:r w:rsidRPr="008F1277">
        <w:t xml:space="preserve">Units: </w:t>
      </w:r>
      <w:r>
        <w:t>$/kWh</w:t>
      </w:r>
    </w:p>
    <w:p w14:paraId="0C9870F0" w14:textId="77777777" w:rsidR="00912189" w:rsidRPr="008F1277" w:rsidRDefault="00912189" w:rsidP="005250A7">
      <w:pPr>
        <w:ind w:left="900"/>
      </w:pPr>
      <w:r w:rsidRPr="008F1277">
        <w:t>Description:</w:t>
      </w:r>
    </w:p>
    <w:p w14:paraId="4F3159C3" w14:textId="16247ADC" w:rsidR="00912189" w:rsidRDefault="00EA5B01" w:rsidP="005250A7">
      <w:pPr>
        <w:ind w:left="1440"/>
      </w:pPr>
      <w:r>
        <w:t xml:space="preserve">This input is asking for the cost that </w:t>
      </w:r>
      <w:r w:rsidR="00182541">
        <w:t xml:space="preserve">Residential </w:t>
      </w:r>
      <w:r>
        <w:t xml:space="preserve">participants paid above and beyond what they would otherwise have paid per kWh of savings. This should not include the amount paid in incentives so it would be the net amount paid above and beyond the expected amount paid. This is used in the participant cost test to calculate the total participant cost. </w:t>
      </w:r>
    </w:p>
    <w:p w14:paraId="6F4D9CD1" w14:textId="463C4C46" w:rsidR="00EA5B01" w:rsidRDefault="00EA5B01" w:rsidP="00EA5B01">
      <w:pPr>
        <w:ind w:left="180" w:firstLine="720"/>
      </w:pPr>
      <w:r>
        <w:t>Example Calculation:</w:t>
      </w:r>
    </w:p>
    <w:p w14:paraId="4939D55B" w14:textId="77777777" w:rsidR="00EA5B01" w:rsidRDefault="00EA5B01" w:rsidP="005250A7">
      <w:pPr>
        <w:ind w:left="1440"/>
      </w:pPr>
      <w:r>
        <w:t>This value is generally reported by the utility for the different measures proposed but if not, or if a new program is being constructed, the following explains how one would calculate it.</w:t>
      </w:r>
    </w:p>
    <w:p w14:paraId="0F85F823" w14:textId="3BF50924" w:rsidR="00EA5B01" w:rsidRPr="008F1277" w:rsidRDefault="00EA5B01" w:rsidP="005250A7">
      <w:pPr>
        <w:ind w:left="1440"/>
      </w:pPr>
      <w:r>
        <w:t xml:space="preserve">First, you would find the value participants paid by taking the total cost of the final implemented measure and subtract both the cost of the </w:t>
      </w:r>
      <w:r w:rsidR="00182541">
        <w:t xml:space="preserve">measure that would otherwise have been installed and the incentive paid to the participant by the utility. You then take this value and divide it by the total savings expected for the lifetime of the measure. </w:t>
      </w:r>
    </w:p>
    <w:p w14:paraId="334D7EFC" w14:textId="3125E73A" w:rsidR="00912189" w:rsidRDefault="00912189" w:rsidP="005250A7">
      <w:pPr>
        <w:ind w:left="900"/>
        <w:rPr>
          <w:rFonts w:ascii="Calibri" w:hAnsi="Calibri" w:cs="Calibri"/>
          <w:b/>
          <w:bCs/>
          <w:noProof/>
          <w:color w:val="4F81BD"/>
          <w:sz w:val="26"/>
          <w:szCs w:val="26"/>
          <w:lang w:eastAsia="en-US"/>
        </w:rPr>
      </w:pPr>
      <w:r w:rsidRPr="008F1277">
        <w:t>Source:</w:t>
      </w:r>
      <w:r w:rsidRPr="008F1277" w:rsidDel="00201D92">
        <w:t xml:space="preserve"> </w:t>
      </w:r>
      <w:r>
        <w:t xml:space="preserve">PSC filings </w:t>
      </w:r>
    </w:p>
    <w:p w14:paraId="1EC2D7CE" w14:textId="4B6FCFD3" w:rsidR="00FA01BB" w:rsidRPr="008F1277" w:rsidRDefault="00FA01BB" w:rsidP="00FA01BB">
      <w:pPr>
        <w:ind w:firstLine="720"/>
      </w:pPr>
      <w:r>
        <w:t>Commercial &amp; Industrial</w:t>
      </w:r>
    </w:p>
    <w:p w14:paraId="33DDC8BD" w14:textId="77777777" w:rsidR="00FA01BB" w:rsidRPr="008F1277" w:rsidRDefault="00FA01BB" w:rsidP="00FA01BB">
      <w:pPr>
        <w:ind w:left="900"/>
      </w:pPr>
      <w:r w:rsidRPr="008F1277">
        <w:t xml:space="preserve">Units: </w:t>
      </w:r>
      <w:r>
        <w:t>$/kWh</w:t>
      </w:r>
    </w:p>
    <w:p w14:paraId="5E6AB866" w14:textId="77777777" w:rsidR="00FA01BB" w:rsidRPr="008F1277" w:rsidRDefault="00FA01BB" w:rsidP="00FA01BB">
      <w:pPr>
        <w:ind w:left="900"/>
      </w:pPr>
      <w:r w:rsidRPr="008F1277">
        <w:t>Description:</w:t>
      </w:r>
    </w:p>
    <w:p w14:paraId="1E966632" w14:textId="63430FF7" w:rsidR="00182541" w:rsidRDefault="00FA01BB" w:rsidP="00182541">
      <w:pPr>
        <w:ind w:left="1440"/>
      </w:pPr>
      <w:r>
        <w:t xml:space="preserve">This input is asking </w:t>
      </w:r>
      <w:r w:rsidR="00182541">
        <w:t xml:space="preserve">for the cost that Commercial and/or Industrial participants paid above and beyond what they would otherwise have paid per kWh of savings. This should not include the amount paid in incentives so it would be the net amount paid above and beyond the expected amount paid. This is used in the participant cost test to calculate the total participant cost. </w:t>
      </w:r>
    </w:p>
    <w:p w14:paraId="0ADB5573" w14:textId="77777777" w:rsidR="00182541" w:rsidRDefault="00182541" w:rsidP="00182541">
      <w:pPr>
        <w:ind w:left="180" w:firstLine="720"/>
      </w:pPr>
      <w:r>
        <w:t>Example Calculation:</w:t>
      </w:r>
    </w:p>
    <w:p w14:paraId="1B69C29E" w14:textId="77777777" w:rsidR="00182541" w:rsidRDefault="00182541" w:rsidP="00182541">
      <w:pPr>
        <w:ind w:left="1440"/>
      </w:pPr>
      <w:r>
        <w:t>This value is generally reported by the utility for the different measures proposed but if not, or if a new program is being constructed, the following explains how one would calculate it.</w:t>
      </w:r>
    </w:p>
    <w:p w14:paraId="6D3D61BB" w14:textId="77777777" w:rsidR="00182541" w:rsidRPr="008F1277" w:rsidRDefault="00182541" w:rsidP="00182541">
      <w:pPr>
        <w:ind w:left="1440"/>
      </w:pPr>
      <w:r>
        <w:t xml:space="preserve">First, you would find the value participants paid by taking the total cost of the final implemented measure and subtract both the cost of the measure that would otherwise have been installed and the incentive paid to the participant by the utility. You then take this value and divide it by the total savings expected for the lifetime of the measure. </w:t>
      </w:r>
      <w:r w:rsidR="00FA01BB" w:rsidRPr="008F1277">
        <w:t>Source:</w:t>
      </w:r>
      <w:r w:rsidR="00FA01BB" w:rsidRPr="008F1277" w:rsidDel="00201D92">
        <w:t xml:space="preserve"> </w:t>
      </w:r>
      <w:r w:rsidR="00FA01BB">
        <w:t xml:space="preserve">PSC filings </w:t>
      </w:r>
    </w:p>
    <w:p w14:paraId="66DB3619" w14:textId="77777777" w:rsidR="00182541" w:rsidRDefault="00182541" w:rsidP="00182541">
      <w:pPr>
        <w:ind w:left="900"/>
        <w:rPr>
          <w:rFonts w:ascii="Calibri" w:hAnsi="Calibri" w:cs="Calibri"/>
          <w:b/>
          <w:bCs/>
          <w:noProof/>
          <w:color w:val="4F81BD"/>
          <w:sz w:val="26"/>
          <w:szCs w:val="26"/>
          <w:lang w:eastAsia="en-US"/>
        </w:rPr>
      </w:pPr>
      <w:r w:rsidRPr="008F1277">
        <w:t>Source:</w:t>
      </w:r>
      <w:r w:rsidRPr="008F1277" w:rsidDel="00201D92">
        <w:t xml:space="preserve"> </w:t>
      </w:r>
      <w:r>
        <w:t xml:space="preserve">PSC filings </w:t>
      </w:r>
    </w:p>
    <w:p w14:paraId="5F7175D8" w14:textId="77777777" w:rsidR="00FA01BB" w:rsidRDefault="00FA01BB" w:rsidP="005250A7"/>
    <w:p w14:paraId="3532B586" w14:textId="460C4E83" w:rsidR="00CB5D19" w:rsidRDefault="00CB5D19" w:rsidP="00CB5D19">
      <w:pPr>
        <w:pStyle w:val="Heading3"/>
      </w:pPr>
      <w:bookmarkStart w:id="40" w:name="_Toc278464908"/>
      <w:r>
        <w:t>Discount Rate Sub-Module</w:t>
      </w:r>
      <w:bookmarkEnd w:id="40"/>
    </w:p>
    <w:p w14:paraId="16AEAC15" w14:textId="06316EAC" w:rsidR="00CB5D19" w:rsidRDefault="00CB5D19" w:rsidP="00CB5D19">
      <w:pPr>
        <w:pStyle w:val="BodyText"/>
        <w:ind w:firstLine="720"/>
      </w:pPr>
      <w:r>
        <w:t>The Discount Rate sub-module allows for the value in the CBA to be discounted. It allows for a different discount rate for each test in the suite of analyses. The inputs for the sub-module are as follows:</w:t>
      </w:r>
    </w:p>
    <w:p w14:paraId="66E69716" w14:textId="77777777" w:rsidR="00CB5D19" w:rsidRDefault="00CB5D19" w:rsidP="00FD623C"/>
    <w:p w14:paraId="373F20E7" w14:textId="0BA3AFC3" w:rsidR="00CB5D19" w:rsidRDefault="00CB5D19" w:rsidP="00FD623C">
      <w:pPr>
        <w:jc w:val="center"/>
      </w:pPr>
      <w:r>
        <w:rPr>
          <w:noProof/>
          <w:lang w:eastAsia="en-US"/>
        </w:rPr>
        <w:drawing>
          <wp:inline distT="0" distB="0" distL="0" distR="0" wp14:anchorId="2F30F640" wp14:editId="6BCD7227">
            <wp:extent cx="3657600" cy="1489480"/>
            <wp:effectExtent l="0" t="0" r="0" b="9525"/>
            <wp:docPr id="24" name="Picture 24" descr="Macintosh HD:Users:Ben:Desktop:Screen Shot 2014-11-11 at 2.5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Desktop:Screen Shot 2014-11-11 at 2.54.20 P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1489480"/>
                    </a:xfrm>
                    <a:prstGeom prst="rect">
                      <a:avLst/>
                    </a:prstGeom>
                    <a:noFill/>
                    <a:ln>
                      <a:noFill/>
                    </a:ln>
                  </pic:spPr>
                </pic:pic>
              </a:graphicData>
            </a:graphic>
          </wp:inline>
        </w:drawing>
      </w:r>
    </w:p>
    <w:p w14:paraId="0BDE05B4" w14:textId="77777777" w:rsidR="00CB5D19" w:rsidRDefault="00CB5D19" w:rsidP="00FD623C"/>
    <w:p w14:paraId="43A124B3" w14:textId="5A7DFC6F" w:rsidR="00CB5D19" w:rsidRPr="00FD623C" w:rsidRDefault="00FD623C" w:rsidP="00726017">
      <w:pPr>
        <w:ind w:firstLine="720"/>
        <w:rPr>
          <w:i/>
        </w:rPr>
      </w:pPr>
      <w:r w:rsidRPr="00FD623C">
        <w:rPr>
          <w:i/>
        </w:rPr>
        <w:t>Customer Discount Rate:</w:t>
      </w:r>
    </w:p>
    <w:p w14:paraId="534878B6" w14:textId="02F8D41B" w:rsidR="00FD623C" w:rsidRDefault="00FD623C" w:rsidP="00FD623C">
      <w:pPr>
        <w:ind w:firstLine="720"/>
      </w:pPr>
      <w:r>
        <w:t>Residential:</w:t>
      </w:r>
      <w:r w:rsidR="00E00F0F">
        <w:t xml:space="preserve"> </w:t>
      </w:r>
    </w:p>
    <w:p w14:paraId="58E1A3FA" w14:textId="1EEDB473" w:rsidR="00FD623C" w:rsidRDefault="00FD623C" w:rsidP="00FD623C">
      <w:pPr>
        <w:tabs>
          <w:tab w:val="left" w:pos="360"/>
        </w:tabs>
        <w:ind w:left="900"/>
      </w:pPr>
      <w:r>
        <w:t>Units: %</w:t>
      </w:r>
      <w:r w:rsidR="00E00F0F">
        <w:t xml:space="preserve"> </w:t>
      </w:r>
    </w:p>
    <w:p w14:paraId="709946E2" w14:textId="71AFC9DE" w:rsidR="00FD623C" w:rsidRDefault="00FD623C" w:rsidP="00FD623C">
      <w:pPr>
        <w:tabs>
          <w:tab w:val="left" w:pos="360"/>
        </w:tabs>
        <w:ind w:left="900"/>
      </w:pPr>
      <w:r>
        <w:t xml:space="preserve">Description: </w:t>
      </w:r>
    </w:p>
    <w:p w14:paraId="5765B44B" w14:textId="74D91AD1" w:rsidR="00E00F0F" w:rsidRDefault="00D11EED" w:rsidP="00E00F0F">
      <w:pPr>
        <w:tabs>
          <w:tab w:val="left" w:pos="360"/>
        </w:tabs>
        <w:ind w:left="1440"/>
      </w:pPr>
      <w:r>
        <w:t xml:space="preserve">This input is asking for the </w:t>
      </w:r>
      <w:r w:rsidR="006B40FA">
        <w:t xml:space="preserve">amount, in </w:t>
      </w:r>
      <w:r>
        <w:t>percent</w:t>
      </w:r>
      <w:r w:rsidR="006B40FA">
        <w:t>,</w:t>
      </w:r>
      <w:r>
        <w:t xml:space="preserve"> by which Residential customers discount money</w:t>
      </w:r>
      <w:r w:rsidR="006B40FA">
        <w:t xml:space="preserve"> for each year in the future that it is</w:t>
      </w:r>
      <w:r>
        <w:t xml:space="preserve">. </w:t>
      </w:r>
    </w:p>
    <w:p w14:paraId="376D284C" w14:textId="1C1D9228" w:rsidR="00FD623C" w:rsidRDefault="00FD623C" w:rsidP="00FD623C">
      <w:pPr>
        <w:tabs>
          <w:tab w:val="left" w:pos="360"/>
        </w:tabs>
        <w:ind w:left="900"/>
      </w:pPr>
      <w:r>
        <w:t>Source</w:t>
      </w:r>
      <w:proofErr w:type="gramStart"/>
      <w:r>
        <w:t xml:space="preserve">: </w:t>
      </w:r>
      <w:r w:rsidR="003167C1" w:rsidRPr="003167C1">
        <w:rPr>
          <w:highlight w:val="yellow"/>
        </w:rPr>
        <w:t>???</w:t>
      </w:r>
      <w:proofErr w:type="gramEnd"/>
    </w:p>
    <w:p w14:paraId="4E80B31E" w14:textId="77777777" w:rsidR="00A3453F" w:rsidRDefault="00A3453F" w:rsidP="00A3453F">
      <w:pPr>
        <w:tabs>
          <w:tab w:val="left" w:pos="360"/>
        </w:tabs>
      </w:pPr>
    </w:p>
    <w:p w14:paraId="525F722F" w14:textId="7D06A51A" w:rsidR="00FD623C" w:rsidRDefault="00FD623C" w:rsidP="00FD623C">
      <w:pPr>
        <w:ind w:firstLine="720"/>
      </w:pPr>
      <w:r>
        <w:t>C/I:</w:t>
      </w:r>
      <w:r w:rsidR="00E00F0F">
        <w:t xml:space="preserve"> </w:t>
      </w:r>
    </w:p>
    <w:p w14:paraId="3A645A0B" w14:textId="2B6DD194" w:rsidR="00A3453F" w:rsidRDefault="00A3453F" w:rsidP="00A3453F">
      <w:pPr>
        <w:tabs>
          <w:tab w:val="left" w:pos="90"/>
        </w:tabs>
        <w:ind w:left="900"/>
      </w:pPr>
      <w:r>
        <w:t xml:space="preserve">Units: % </w:t>
      </w:r>
    </w:p>
    <w:p w14:paraId="36DF3129" w14:textId="452B92F4" w:rsidR="00A3453F" w:rsidRDefault="00A3453F" w:rsidP="00A3453F">
      <w:pPr>
        <w:tabs>
          <w:tab w:val="left" w:pos="90"/>
        </w:tabs>
        <w:ind w:left="900"/>
      </w:pPr>
      <w:r>
        <w:t xml:space="preserve">Description: </w:t>
      </w:r>
    </w:p>
    <w:p w14:paraId="3ABF842A" w14:textId="3B85286D" w:rsidR="006B40FA" w:rsidRDefault="006B40FA" w:rsidP="006B40FA">
      <w:pPr>
        <w:tabs>
          <w:tab w:val="left" w:pos="360"/>
        </w:tabs>
        <w:ind w:left="1440"/>
      </w:pPr>
      <w:r>
        <w:t xml:space="preserve">This input is asking for the amount, in percent, by which Commercial and Industrial customers discount money for each year in the future that it is. </w:t>
      </w:r>
      <w:r w:rsidRPr="006B40FA">
        <w:t>The Weighted Average Cost of Capital (WACC)</w:t>
      </w:r>
      <w:r>
        <w:t xml:space="preserve"> is one possibility but need not be the standard</w:t>
      </w:r>
      <w:r w:rsidRPr="006B40FA">
        <w:t>.</w:t>
      </w:r>
    </w:p>
    <w:p w14:paraId="2F0DF2E2" w14:textId="7E6CC166" w:rsidR="00A3453F" w:rsidRDefault="00A3453F" w:rsidP="00A3453F">
      <w:pPr>
        <w:tabs>
          <w:tab w:val="left" w:pos="90"/>
        </w:tabs>
        <w:ind w:left="900"/>
      </w:pPr>
      <w:r>
        <w:t>Source</w:t>
      </w:r>
      <w:proofErr w:type="gramStart"/>
      <w:r>
        <w:t xml:space="preserve">: </w:t>
      </w:r>
      <w:r w:rsidR="006B40FA" w:rsidRPr="006B40FA">
        <w:rPr>
          <w:highlight w:val="yellow"/>
        </w:rPr>
        <w:t>???</w:t>
      </w:r>
      <w:proofErr w:type="gramEnd"/>
    </w:p>
    <w:p w14:paraId="1E4BBC28" w14:textId="77777777" w:rsidR="00FD623C" w:rsidRDefault="00FD623C" w:rsidP="00FD623C"/>
    <w:p w14:paraId="16C06560" w14:textId="048FB6A3" w:rsidR="003167C1" w:rsidRDefault="003167C1" w:rsidP="003167C1">
      <w:pPr>
        <w:ind w:firstLine="720"/>
      </w:pPr>
      <w:r>
        <w:t>Use Utility WACC for RIM, TRC, and PAC discount rate</w:t>
      </w:r>
      <w:proofErr w:type="gramStart"/>
      <w:r>
        <w:t>?:</w:t>
      </w:r>
      <w:proofErr w:type="gramEnd"/>
      <w:r>
        <w:t xml:space="preserve"> </w:t>
      </w:r>
    </w:p>
    <w:p w14:paraId="6DFDC6F9" w14:textId="497667E4" w:rsidR="003167C1" w:rsidRDefault="003167C1" w:rsidP="003167C1">
      <w:pPr>
        <w:tabs>
          <w:tab w:val="left" w:pos="90"/>
        </w:tabs>
        <w:ind w:left="900"/>
      </w:pPr>
      <w:r>
        <w:t xml:space="preserve">Units: </w:t>
      </w:r>
      <w:proofErr w:type="spellStart"/>
      <w:proofErr w:type="gramStart"/>
      <w:r>
        <w:t>boolean</w:t>
      </w:r>
      <w:proofErr w:type="spellEnd"/>
      <w:proofErr w:type="gramEnd"/>
      <w:r>
        <w:t xml:space="preserve"> (TRUE/FALSE) </w:t>
      </w:r>
    </w:p>
    <w:p w14:paraId="3BC73A04" w14:textId="77777777" w:rsidR="003167C1" w:rsidRDefault="003167C1" w:rsidP="003167C1">
      <w:pPr>
        <w:tabs>
          <w:tab w:val="left" w:pos="90"/>
        </w:tabs>
        <w:ind w:left="900"/>
      </w:pPr>
      <w:r>
        <w:t xml:space="preserve">Description: </w:t>
      </w:r>
    </w:p>
    <w:p w14:paraId="65097328" w14:textId="7D451A73" w:rsidR="003167C1" w:rsidRDefault="003167C1" w:rsidP="003167C1">
      <w:pPr>
        <w:tabs>
          <w:tab w:val="left" w:pos="360"/>
        </w:tabs>
        <w:ind w:left="1440"/>
      </w:pPr>
      <w:r>
        <w:t>This input is ask</w:t>
      </w:r>
      <w:r w:rsidR="006B40FA">
        <w:t>ing if the value of the utility’</w:t>
      </w:r>
      <w:r>
        <w:t>s Weighted Average Cost of Capital (WACC) should be used in calculating the RIM, TRC, and PAC test</w:t>
      </w:r>
      <w:r w:rsidR="007D7F14">
        <w:t>s</w:t>
      </w:r>
      <w:r>
        <w:t>.</w:t>
      </w:r>
      <w:r w:rsidR="006B40FA">
        <w:t xml:space="preserve"> </w:t>
      </w:r>
    </w:p>
    <w:p w14:paraId="3693BF37" w14:textId="4F1544F0" w:rsidR="003167C1" w:rsidRDefault="003167C1" w:rsidP="003167C1">
      <w:pPr>
        <w:tabs>
          <w:tab w:val="left" w:pos="90"/>
        </w:tabs>
        <w:ind w:left="900"/>
      </w:pPr>
      <w:r>
        <w:t>Source: PSC filings</w:t>
      </w:r>
    </w:p>
    <w:p w14:paraId="65DAD23D" w14:textId="77777777" w:rsidR="003167C1" w:rsidRDefault="003167C1" w:rsidP="00FD623C"/>
    <w:p w14:paraId="1793DB45" w14:textId="13B69702" w:rsidR="003167C1" w:rsidRDefault="007D7F14" w:rsidP="003167C1">
      <w:pPr>
        <w:ind w:firstLine="720"/>
      </w:pPr>
      <w:r>
        <w:t>[TEST] Discount Rate</w:t>
      </w:r>
      <w:r w:rsidR="003167C1">
        <w:t xml:space="preserve">: </w:t>
      </w:r>
    </w:p>
    <w:p w14:paraId="1E4FA83B" w14:textId="77777777" w:rsidR="003167C1" w:rsidRDefault="003167C1" w:rsidP="003167C1">
      <w:pPr>
        <w:tabs>
          <w:tab w:val="left" w:pos="90"/>
        </w:tabs>
        <w:ind w:left="900"/>
      </w:pPr>
      <w:r>
        <w:t xml:space="preserve">Units: % </w:t>
      </w:r>
    </w:p>
    <w:p w14:paraId="70F5A1D1" w14:textId="77777777" w:rsidR="003167C1" w:rsidRDefault="003167C1" w:rsidP="003167C1">
      <w:pPr>
        <w:tabs>
          <w:tab w:val="left" w:pos="90"/>
        </w:tabs>
        <w:ind w:left="900"/>
      </w:pPr>
      <w:r>
        <w:t xml:space="preserve">Description: </w:t>
      </w:r>
    </w:p>
    <w:p w14:paraId="21794499" w14:textId="5D304B97" w:rsidR="006B40FA" w:rsidRPr="006B40FA" w:rsidRDefault="003167C1" w:rsidP="006B40FA">
      <w:pPr>
        <w:tabs>
          <w:tab w:val="left" w:pos="360"/>
        </w:tabs>
        <w:ind w:left="1440"/>
      </w:pPr>
      <w:r>
        <w:t>This input is asking for the percent by which future money</w:t>
      </w:r>
      <w:r w:rsidR="007D7F14">
        <w:t xml:space="preserve"> should be discounted for each non-participant test</w:t>
      </w:r>
      <w:r>
        <w:t xml:space="preserve">. </w:t>
      </w:r>
      <w:r w:rsidR="007D7F14">
        <w:t>These are the RIM, TRC, and PAC tests.</w:t>
      </w:r>
      <w:r w:rsidR="006B40FA">
        <w:t xml:space="preserve"> These can all be the same value for each test or can be varied between tests depending on the standard practice. </w:t>
      </w:r>
    </w:p>
    <w:p w14:paraId="35AE3B22" w14:textId="3111E07C" w:rsidR="003167C1" w:rsidRDefault="003167C1" w:rsidP="003167C1">
      <w:pPr>
        <w:tabs>
          <w:tab w:val="left" w:pos="90"/>
        </w:tabs>
        <w:ind w:left="900"/>
      </w:pPr>
      <w:r>
        <w:t>Source: PSC filings</w:t>
      </w:r>
    </w:p>
    <w:p w14:paraId="0F5C1259" w14:textId="77777777" w:rsidR="003167C1" w:rsidRDefault="003167C1" w:rsidP="00FD623C"/>
    <w:p w14:paraId="612CC9DC" w14:textId="38399E45" w:rsidR="00CB5D19" w:rsidRDefault="00CB5D19" w:rsidP="00CB5D19">
      <w:pPr>
        <w:pStyle w:val="Heading3"/>
      </w:pPr>
      <w:bookmarkStart w:id="41" w:name="_Toc278464909"/>
      <w:r>
        <w:t>Avoided Capacity Cost Sub-Module</w:t>
      </w:r>
      <w:bookmarkEnd w:id="41"/>
    </w:p>
    <w:p w14:paraId="71CFAE63" w14:textId="4375FA12" w:rsidR="00CB5D19" w:rsidRDefault="00CB5D19" w:rsidP="00726017">
      <w:pPr>
        <w:ind w:firstLine="720"/>
      </w:pPr>
      <w:r>
        <w:t xml:space="preserve">The Avoided Capacity Cost sub-module allows the user to enter additional program savings not calculated in the model for the purpose of the CBA tests. Specifically, the savings </w:t>
      </w:r>
      <w:r w:rsidR="002B5292">
        <w:t>can</w:t>
      </w:r>
      <w:r>
        <w:t xml:space="preserve"> be based on the amount of demand/</w:t>
      </w:r>
      <w:proofErr w:type="gramStart"/>
      <w:r>
        <w:t xml:space="preserve">power </w:t>
      </w:r>
      <w:r w:rsidR="002B5292">
        <w:t xml:space="preserve"> or</w:t>
      </w:r>
      <w:proofErr w:type="gramEnd"/>
      <w:r w:rsidR="002B5292">
        <w:t xml:space="preserve"> the amount of energy </w:t>
      </w:r>
      <w:r>
        <w:t>that is saved in the program. The inputs for the sub-module are as follows:</w:t>
      </w:r>
    </w:p>
    <w:p w14:paraId="4869DFA2" w14:textId="77777777" w:rsidR="00CB5D19" w:rsidRDefault="00CB5D19" w:rsidP="00726017"/>
    <w:p w14:paraId="20B5190E" w14:textId="0C9EBF2F" w:rsidR="00CB5D19" w:rsidRDefault="002B5292" w:rsidP="00726017">
      <w:pPr>
        <w:jc w:val="center"/>
      </w:pPr>
      <w:r>
        <w:rPr>
          <w:noProof/>
          <w:lang w:eastAsia="en-US"/>
        </w:rPr>
        <w:drawing>
          <wp:inline distT="0" distB="0" distL="0" distR="0" wp14:anchorId="3FE8B0BE" wp14:editId="227AB3D2">
            <wp:extent cx="3657600" cy="844062"/>
            <wp:effectExtent l="0" t="0" r="0" b="0"/>
            <wp:docPr id="30" name="Picture 30" descr="Macintosh HD:Users:Ben:Desktop:Screen Shot 2014-11-11 at 2.5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Desktop:Screen Shot 2014-11-11 at 2.57.22 PM.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844062"/>
                    </a:xfrm>
                    <a:prstGeom prst="rect">
                      <a:avLst/>
                    </a:prstGeom>
                    <a:noFill/>
                    <a:ln>
                      <a:noFill/>
                    </a:ln>
                  </pic:spPr>
                </pic:pic>
              </a:graphicData>
            </a:graphic>
          </wp:inline>
        </w:drawing>
      </w:r>
    </w:p>
    <w:p w14:paraId="5E8EE156" w14:textId="77777777" w:rsidR="00CB5D19" w:rsidRDefault="00CB5D19" w:rsidP="00726017"/>
    <w:p w14:paraId="228FCE44" w14:textId="584C879B" w:rsidR="00726017" w:rsidRPr="00726017" w:rsidRDefault="00726017" w:rsidP="00726017">
      <w:pPr>
        <w:ind w:firstLine="720"/>
        <w:rPr>
          <w:i/>
          <w:u w:val="single"/>
        </w:rPr>
      </w:pPr>
      <w:r w:rsidRPr="00726017">
        <w:rPr>
          <w:i/>
        </w:rPr>
        <w:t>Avoided Capacity Cost:</w:t>
      </w:r>
    </w:p>
    <w:p w14:paraId="01E8BAA2" w14:textId="34A4A777" w:rsidR="00726017" w:rsidRDefault="00726017" w:rsidP="00726017">
      <w:pPr>
        <w:ind w:firstLine="720"/>
      </w:pPr>
      <w:r>
        <w:t>Avoided Cost in Demand:</w:t>
      </w:r>
    </w:p>
    <w:p w14:paraId="58A78A74" w14:textId="556A2394" w:rsidR="00726017" w:rsidRDefault="00726017" w:rsidP="00726017">
      <w:pPr>
        <w:ind w:left="900"/>
      </w:pPr>
      <w:r>
        <w:t>Units: $/kW-year</w:t>
      </w:r>
    </w:p>
    <w:p w14:paraId="02AC12AA" w14:textId="77777777" w:rsidR="008D4FA9" w:rsidRDefault="008D4FA9" w:rsidP="008D4FA9">
      <w:pPr>
        <w:ind w:left="900"/>
      </w:pPr>
      <w:r>
        <w:t>Description:</w:t>
      </w:r>
    </w:p>
    <w:p w14:paraId="1E54C2DA" w14:textId="7616B77F" w:rsidR="008D4FA9" w:rsidRDefault="008D4FA9" w:rsidP="008D4FA9">
      <w:pPr>
        <w:ind w:left="1440"/>
      </w:pPr>
      <w:r>
        <w:t xml:space="preserve">This input is asking for the cost related to capacity that is saved per kW in a single year. </w:t>
      </w:r>
    </w:p>
    <w:p w14:paraId="34C3D66D" w14:textId="77777777" w:rsidR="008D4FA9" w:rsidRDefault="008D4FA9" w:rsidP="008D4FA9">
      <w:pPr>
        <w:ind w:left="900"/>
      </w:pPr>
      <w:r>
        <w:t>Example Calculation:</w:t>
      </w:r>
    </w:p>
    <w:p w14:paraId="5805EB0A" w14:textId="77777777" w:rsidR="008D4FA9" w:rsidRDefault="008D4FA9" w:rsidP="008D4FA9">
      <w:pPr>
        <w:ind w:left="1440"/>
      </w:pPr>
      <w:r>
        <w:t xml:space="preserve">This may be calculated by dividing the total amount of capacity cost savings by the total amount of demand saved. </w:t>
      </w:r>
    </w:p>
    <w:p w14:paraId="63E3CB91" w14:textId="36EC69B0" w:rsidR="00726017" w:rsidRDefault="00726017" w:rsidP="00726017">
      <w:pPr>
        <w:ind w:left="900"/>
      </w:pPr>
      <w:r>
        <w:t>Source:</w:t>
      </w:r>
      <w:r w:rsidR="005E76D8">
        <w:t xml:space="preserve"> PSC filings</w:t>
      </w:r>
    </w:p>
    <w:p w14:paraId="203F4951" w14:textId="77777777" w:rsidR="005E76D8" w:rsidRDefault="005E76D8" w:rsidP="005E76D8"/>
    <w:p w14:paraId="0AFB2C57" w14:textId="2F4C4A6B" w:rsidR="00726017" w:rsidRDefault="00726017" w:rsidP="00726017">
      <w:pPr>
        <w:ind w:firstLine="720"/>
      </w:pPr>
      <w:r>
        <w:t>Avoided Cost Volumetrically:</w:t>
      </w:r>
    </w:p>
    <w:p w14:paraId="14AD063B" w14:textId="57C6690D" w:rsidR="008D4FA9" w:rsidRDefault="008D4FA9" w:rsidP="008D4FA9">
      <w:pPr>
        <w:ind w:left="900"/>
      </w:pPr>
      <w:r>
        <w:t>Units: $/kWh-year</w:t>
      </w:r>
    </w:p>
    <w:p w14:paraId="4CD4C3D9" w14:textId="77777777" w:rsidR="008D4FA9" w:rsidRDefault="008D4FA9" w:rsidP="008D4FA9">
      <w:pPr>
        <w:ind w:left="900"/>
      </w:pPr>
      <w:r>
        <w:t>Description:</w:t>
      </w:r>
    </w:p>
    <w:p w14:paraId="196A4170" w14:textId="71B8FD8C" w:rsidR="008D4FA9" w:rsidRDefault="008D4FA9" w:rsidP="008D4FA9">
      <w:pPr>
        <w:ind w:left="1440"/>
      </w:pPr>
      <w:r>
        <w:t xml:space="preserve">This input is asking for the cost related to capacity that is saved per kWh in a single year. </w:t>
      </w:r>
    </w:p>
    <w:p w14:paraId="1C5D24DB" w14:textId="77777777" w:rsidR="008D4FA9" w:rsidRDefault="008D4FA9" w:rsidP="008D4FA9">
      <w:pPr>
        <w:ind w:left="900"/>
      </w:pPr>
      <w:r>
        <w:t>Example Calculation:</w:t>
      </w:r>
    </w:p>
    <w:p w14:paraId="3C5B9DC1" w14:textId="39905860" w:rsidR="008D4FA9" w:rsidRDefault="008D4FA9" w:rsidP="008D4FA9">
      <w:pPr>
        <w:ind w:left="1440"/>
      </w:pPr>
      <w:r>
        <w:t xml:space="preserve">This may be calculated by dividing the total amount of capacity cost savings by the total amount of energy saved. </w:t>
      </w:r>
    </w:p>
    <w:p w14:paraId="21BFD7CC" w14:textId="77777777" w:rsidR="008D4FA9" w:rsidRDefault="008D4FA9" w:rsidP="008D4FA9">
      <w:pPr>
        <w:ind w:left="900"/>
      </w:pPr>
      <w:r>
        <w:t>Source: PSC filings</w:t>
      </w:r>
    </w:p>
    <w:p w14:paraId="4F65EFCA" w14:textId="77777777" w:rsidR="008D4FA9" w:rsidRDefault="008D4FA9" w:rsidP="00E22B98">
      <w:pPr>
        <w:pStyle w:val="BodyText"/>
      </w:pPr>
    </w:p>
    <w:p w14:paraId="1579933D" w14:textId="3524E73A" w:rsidR="00CB5D19" w:rsidRDefault="00CB5D19" w:rsidP="00CB5D19">
      <w:pPr>
        <w:pStyle w:val="Heading3"/>
      </w:pPr>
      <w:bookmarkStart w:id="42" w:name="_Toc278464910"/>
      <w:r>
        <w:t>CBA Comparison Sub-Module</w:t>
      </w:r>
      <w:bookmarkEnd w:id="42"/>
    </w:p>
    <w:p w14:paraId="27DF1B3E" w14:textId="669D39B3" w:rsidR="00CB5D19" w:rsidRDefault="002B5292" w:rsidP="00561AB0">
      <w:pPr>
        <w:ind w:firstLine="720"/>
      </w:pPr>
      <w:r>
        <w:t xml:space="preserve">The CBA Comparison sub-module allows for the easy comparison between the CBA </w:t>
      </w:r>
      <w:r w:rsidR="00B77378">
        <w:t>values</w:t>
      </w:r>
      <w:r>
        <w:t xml:space="preserve"> calculated in the tool with the CBA values reported by the utility. This can be used either as a validation for the tool results or as a critical comparison between the two. The inputs for the sub-module are as follows:</w:t>
      </w:r>
    </w:p>
    <w:p w14:paraId="7B432C5C" w14:textId="77777777" w:rsidR="002B5292" w:rsidRDefault="002B5292" w:rsidP="00561AB0"/>
    <w:p w14:paraId="1D4EE692" w14:textId="7F2DFD1D" w:rsidR="002B5292" w:rsidRDefault="00BE5B55" w:rsidP="00561AB0">
      <w:pPr>
        <w:jc w:val="center"/>
      </w:pPr>
      <w:r>
        <w:rPr>
          <w:noProof/>
          <w:lang w:eastAsia="en-US"/>
        </w:rPr>
        <w:drawing>
          <wp:inline distT="0" distB="0" distL="0" distR="0" wp14:anchorId="6F8DC741" wp14:editId="7EE15DA9">
            <wp:extent cx="3643778" cy="1892300"/>
            <wp:effectExtent l="0" t="0" r="0" b="0"/>
            <wp:docPr id="19" name="Picture 19" descr="Macintosh HD:Users:Ben:Desktop:Screen Shot 2014-11-14 at 2.0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esktop:Screen Shot 2014-11-14 at 2.03.38 PM.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3778" cy="1892300"/>
                    </a:xfrm>
                    <a:prstGeom prst="rect">
                      <a:avLst/>
                    </a:prstGeom>
                    <a:noFill/>
                    <a:ln>
                      <a:noFill/>
                    </a:ln>
                  </pic:spPr>
                </pic:pic>
              </a:graphicData>
            </a:graphic>
          </wp:inline>
        </w:drawing>
      </w:r>
    </w:p>
    <w:p w14:paraId="58514A11" w14:textId="77777777" w:rsidR="002B5292" w:rsidRDefault="002B5292" w:rsidP="00561AB0"/>
    <w:p w14:paraId="26D30C6A" w14:textId="43402DCA" w:rsidR="00BE5B55" w:rsidRPr="00BB3470" w:rsidRDefault="00BE5B55" w:rsidP="00BE5B55">
      <w:pPr>
        <w:ind w:left="720"/>
        <w:rPr>
          <w:i/>
        </w:rPr>
      </w:pPr>
      <w:r w:rsidRPr="00BB3470">
        <w:rPr>
          <w:i/>
        </w:rPr>
        <w:t>DSM Program:</w:t>
      </w:r>
      <w:r w:rsidR="00BB3470" w:rsidRPr="00BB3470">
        <w:rPr>
          <w:i/>
        </w:rPr>
        <w:t xml:space="preserve"> </w:t>
      </w:r>
    </w:p>
    <w:p w14:paraId="2254AEA0" w14:textId="5FC5D318" w:rsidR="00BE5B55" w:rsidRDefault="00BB3470" w:rsidP="00BE5B55">
      <w:pPr>
        <w:ind w:left="720"/>
      </w:pPr>
      <w:r>
        <w:t xml:space="preserve">[TEST] (RIM, TRC, PAC, or PCT): </w:t>
      </w:r>
    </w:p>
    <w:p w14:paraId="5880DCAC" w14:textId="286C5A02" w:rsidR="00BB3470" w:rsidRDefault="00BB3470" w:rsidP="00BB3470">
      <w:pPr>
        <w:ind w:left="900"/>
      </w:pPr>
      <w:r>
        <w:t xml:space="preserve">Units: $ (million) </w:t>
      </w:r>
    </w:p>
    <w:p w14:paraId="629EA712" w14:textId="46BBA9C2" w:rsidR="00BB3470" w:rsidRDefault="00BB3470" w:rsidP="00BB3470">
      <w:pPr>
        <w:ind w:left="900"/>
      </w:pPr>
      <w:r>
        <w:t xml:space="preserve">Description: </w:t>
      </w:r>
    </w:p>
    <w:p w14:paraId="30F4DB13" w14:textId="13069327" w:rsidR="00BB3470" w:rsidRDefault="00BB3470" w:rsidP="00BB3470">
      <w:pPr>
        <w:ind w:left="1440"/>
      </w:pPr>
      <w:r>
        <w:t xml:space="preserve">This input is asking for the CBA results reported by the utility for each of the four tests calculated by the tool for the Residential and the C/I programs. These should not be calculated but taken straight from the data supplied by the utility. </w:t>
      </w:r>
    </w:p>
    <w:p w14:paraId="20FBDFA2" w14:textId="79BF0A23" w:rsidR="00BB3470" w:rsidRDefault="00BB3470" w:rsidP="00BB3470">
      <w:pPr>
        <w:ind w:left="900"/>
      </w:pPr>
      <w:r>
        <w:t xml:space="preserve">Source: PSC filings </w:t>
      </w:r>
    </w:p>
    <w:p w14:paraId="09900744" w14:textId="77777777" w:rsidR="00BE5B55" w:rsidRDefault="00BE5B55" w:rsidP="00561AB0"/>
    <w:p w14:paraId="63C75D68" w14:textId="68CEF700" w:rsidR="00CB5D19" w:rsidRDefault="00CB5D19" w:rsidP="00CB5D19">
      <w:pPr>
        <w:pStyle w:val="Heading3"/>
      </w:pPr>
      <w:bookmarkStart w:id="43" w:name="_Toc278464911"/>
      <w:r>
        <w:t>Other CBA Components Sub-Module</w:t>
      </w:r>
      <w:bookmarkEnd w:id="43"/>
    </w:p>
    <w:p w14:paraId="74123A4A" w14:textId="7686F361" w:rsidR="00CB5D19" w:rsidRDefault="00802755" w:rsidP="00561AB0">
      <w:pPr>
        <w:ind w:firstLine="720"/>
      </w:pPr>
      <w:r>
        <w:t xml:space="preserve">The Other CBA Components sub-module allows the user to enter any additional costs or benefits to the CBA calculations to </w:t>
      </w:r>
      <w:r w:rsidR="001A7CEA">
        <w:t>tailor them to specific practices. The inputs for the sub-module are as follows:</w:t>
      </w:r>
    </w:p>
    <w:p w14:paraId="51895770" w14:textId="77777777" w:rsidR="002B5292" w:rsidRDefault="002B5292" w:rsidP="00561AB0"/>
    <w:p w14:paraId="11684479" w14:textId="56730C17" w:rsidR="00802755" w:rsidRDefault="00802755" w:rsidP="00561AB0">
      <w:pPr>
        <w:jc w:val="center"/>
      </w:pPr>
      <w:r>
        <w:rPr>
          <w:noProof/>
          <w:lang w:eastAsia="en-US"/>
        </w:rPr>
        <w:drawing>
          <wp:inline distT="0" distB="0" distL="0" distR="0" wp14:anchorId="6CE8B780" wp14:editId="749B3701">
            <wp:extent cx="3660391" cy="4013200"/>
            <wp:effectExtent l="0" t="0" r="0" b="0"/>
            <wp:docPr id="33" name="Picture 33" descr="Macintosh HD:Users:Ben:Desktop:Screen Shot 2014-11-11 at 3.4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Desktop:Screen Shot 2014-11-11 at 3.41.17 PM.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60391" cy="4013200"/>
                    </a:xfrm>
                    <a:prstGeom prst="rect">
                      <a:avLst/>
                    </a:prstGeom>
                    <a:noFill/>
                    <a:ln>
                      <a:noFill/>
                    </a:ln>
                  </pic:spPr>
                </pic:pic>
              </a:graphicData>
            </a:graphic>
          </wp:inline>
        </w:drawing>
      </w:r>
    </w:p>
    <w:p w14:paraId="1CEC3B0E" w14:textId="77777777" w:rsidR="002B5292" w:rsidRDefault="002B5292" w:rsidP="00561AB0"/>
    <w:p w14:paraId="42C39277" w14:textId="0217D6D0" w:rsidR="00BB3470" w:rsidRPr="00BB3470" w:rsidRDefault="00BB3470" w:rsidP="00BB3470">
      <w:pPr>
        <w:ind w:left="720"/>
        <w:rPr>
          <w:i/>
        </w:rPr>
      </w:pPr>
      <w:r w:rsidRPr="00BB3470">
        <w:rPr>
          <w:i/>
        </w:rPr>
        <w:t xml:space="preserve">[TEST] (RIM, TRC, PAC, or PCT): </w:t>
      </w:r>
    </w:p>
    <w:p w14:paraId="4617CE3E" w14:textId="1040C79C" w:rsidR="00BB3470" w:rsidRDefault="00BB3470" w:rsidP="00BB3470">
      <w:pPr>
        <w:ind w:left="720"/>
      </w:pPr>
      <w:r>
        <w:t xml:space="preserve">Costs: </w:t>
      </w:r>
    </w:p>
    <w:p w14:paraId="3844FBF4" w14:textId="498294E9" w:rsidR="00BB3470" w:rsidRDefault="00BB3470" w:rsidP="00BB3470">
      <w:pPr>
        <w:ind w:left="900"/>
      </w:pPr>
      <w:r>
        <w:t>Units: $ (million)</w:t>
      </w:r>
    </w:p>
    <w:p w14:paraId="20366E96" w14:textId="3CC78530" w:rsidR="00BB3470" w:rsidRDefault="00BB3470" w:rsidP="00BB3470">
      <w:pPr>
        <w:ind w:left="900"/>
      </w:pPr>
      <w:r>
        <w:t xml:space="preserve">Description: </w:t>
      </w:r>
    </w:p>
    <w:p w14:paraId="2A2D94BC" w14:textId="36D9A0AC" w:rsidR="00BB3470" w:rsidRDefault="00BB3470" w:rsidP="00BB3470">
      <w:pPr>
        <w:ind w:left="1440"/>
      </w:pPr>
      <w:r>
        <w:t xml:space="preserve">This input it asking for any additional costs associated with the program based on the state specific standard practice for each test. </w:t>
      </w:r>
      <w:r w:rsidR="00475626">
        <w:t xml:space="preserve">This is input is test and customer class specific. </w:t>
      </w:r>
    </w:p>
    <w:p w14:paraId="633D2BD5" w14:textId="555FDBAE" w:rsidR="00BB3470" w:rsidRDefault="00BB3470" w:rsidP="00BB3470">
      <w:pPr>
        <w:ind w:left="900"/>
      </w:pPr>
      <w:r>
        <w:t>Source: PSC filings or user calculation</w:t>
      </w:r>
    </w:p>
    <w:p w14:paraId="546982D6" w14:textId="77777777" w:rsidR="00561AB0" w:rsidRDefault="00561AB0" w:rsidP="00561AB0"/>
    <w:p w14:paraId="7D72BA9D" w14:textId="36E33E82" w:rsidR="00BB3470" w:rsidRDefault="00BB3470" w:rsidP="00BB3470">
      <w:pPr>
        <w:ind w:left="720"/>
      </w:pPr>
      <w:r>
        <w:t xml:space="preserve">Benefits: </w:t>
      </w:r>
    </w:p>
    <w:p w14:paraId="356E186A" w14:textId="77777777" w:rsidR="00BB3470" w:rsidRDefault="00BB3470" w:rsidP="00BB3470">
      <w:pPr>
        <w:ind w:left="900"/>
      </w:pPr>
      <w:r>
        <w:t>Units: $ (million)</w:t>
      </w:r>
    </w:p>
    <w:p w14:paraId="5BAB6C41" w14:textId="77777777" w:rsidR="00BB3470" w:rsidRDefault="00BB3470" w:rsidP="00BB3470">
      <w:pPr>
        <w:ind w:left="900"/>
      </w:pPr>
      <w:r>
        <w:t xml:space="preserve">Description: </w:t>
      </w:r>
    </w:p>
    <w:p w14:paraId="5A64D9F8" w14:textId="4B895AEB" w:rsidR="00BB3470" w:rsidRDefault="00BB3470" w:rsidP="00BB3470">
      <w:pPr>
        <w:ind w:left="1440"/>
      </w:pPr>
      <w:r>
        <w:t xml:space="preserve">This input it asking for any additional benefits associated with the program based on the state specific standard practice for each test. </w:t>
      </w:r>
      <w:r w:rsidR="00475626">
        <w:t xml:space="preserve">This is input is test and customer class specific. </w:t>
      </w:r>
    </w:p>
    <w:p w14:paraId="6A0AEF8F" w14:textId="77777777" w:rsidR="00BB3470" w:rsidRDefault="00BB3470" w:rsidP="00BB3470">
      <w:pPr>
        <w:ind w:left="900"/>
      </w:pPr>
      <w:r>
        <w:t>Source: PSC filings or user calculation</w:t>
      </w:r>
    </w:p>
    <w:p w14:paraId="190610BB" w14:textId="77777777" w:rsidR="007A1691" w:rsidRPr="007A1691" w:rsidRDefault="007A1691" w:rsidP="00E22B98">
      <w:pPr>
        <w:pStyle w:val="BodyText"/>
      </w:pPr>
    </w:p>
    <w:p w14:paraId="3A55DCD9" w14:textId="33C5E45E" w:rsidR="001E56D8" w:rsidRDefault="001E56D8">
      <w:pPr>
        <w:pStyle w:val="Heading1"/>
        <w:pageBreakBefore/>
        <w:spacing w:line="276" w:lineRule="auto"/>
      </w:pPr>
      <w:bookmarkStart w:id="44" w:name="_Toc278464912"/>
      <w:r>
        <w:t>Calculations</w:t>
      </w:r>
      <w:bookmarkEnd w:id="37"/>
      <w:bookmarkEnd w:id="38"/>
      <w:bookmarkEnd w:id="44"/>
    </w:p>
    <w:p w14:paraId="0B065564" w14:textId="77777777" w:rsidR="001E56D8" w:rsidRDefault="000036F4" w:rsidP="00AB01A4">
      <w:pPr>
        <w:spacing w:line="276" w:lineRule="auto"/>
        <w:ind w:firstLine="432"/>
      </w:pPr>
      <w:r>
        <w:t>The calcu</w:t>
      </w:r>
      <w:r w:rsidR="00943B99">
        <w:t>l</w:t>
      </w:r>
      <w:r>
        <w:t>ations for the model are listed within the following section. They are listed by sector, module</w:t>
      </w:r>
      <w:r w:rsidR="00943B99">
        <w:t>,</w:t>
      </w:r>
      <w:r>
        <w:t xml:space="preserve"> and sub-module. Each sub-module contains a brief description of the calculations performed within them and a generalized formula of the </w:t>
      </w:r>
      <w:r w:rsidR="00EF46B8">
        <w:t>calculation</w:t>
      </w:r>
      <w:r w:rsidR="00AB01A4">
        <w:t>.</w:t>
      </w:r>
    </w:p>
    <w:p w14:paraId="0D0687AB" w14:textId="77777777" w:rsidR="001E56D8" w:rsidRDefault="001E56D8">
      <w:pPr>
        <w:pStyle w:val="Heading2"/>
      </w:pPr>
      <w:bookmarkStart w:id="45" w:name="__RefHeading__734_1188058509"/>
      <w:bookmarkStart w:id="46" w:name="_Toc376263706"/>
      <w:bookmarkStart w:id="47" w:name="_Toc376263770"/>
      <w:bookmarkStart w:id="48" w:name="_Toc278464913"/>
      <w:bookmarkEnd w:id="45"/>
      <w:r>
        <w:t>Customer Sector</w:t>
      </w:r>
      <w:bookmarkEnd w:id="46"/>
      <w:bookmarkEnd w:id="47"/>
      <w:bookmarkEnd w:id="48"/>
    </w:p>
    <w:p w14:paraId="4E8F5049" w14:textId="77777777" w:rsidR="001E56D8" w:rsidRDefault="005A0E17" w:rsidP="005A0E17">
      <w:pPr>
        <w:spacing w:line="276" w:lineRule="auto"/>
        <w:ind w:firstLine="576"/>
      </w:pPr>
      <w:r>
        <w:t xml:space="preserve">The Customer Sector calculations are split into two parts: the Rate Impact module and the Bill Impact module. </w:t>
      </w:r>
    </w:p>
    <w:p w14:paraId="6B07DDF4" w14:textId="77777777" w:rsidR="001E56D8" w:rsidRDefault="001E56D8">
      <w:pPr>
        <w:pStyle w:val="Heading3"/>
        <w:spacing w:line="276" w:lineRule="auto"/>
      </w:pPr>
      <w:bookmarkStart w:id="49" w:name="_Toc376263707"/>
      <w:bookmarkStart w:id="50" w:name="_Toc376263771"/>
      <w:bookmarkStart w:id="51" w:name="_Toc278464914"/>
      <w:r>
        <w:t>Rate Impact Module</w:t>
      </w:r>
      <w:bookmarkEnd w:id="49"/>
      <w:bookmarkEnd w:id="50"/>
      <w:bookmarkEnd w:id="51"/>
    </w:p>
    <w:p w14:paraId="27DAC6E3" w14:textId="5AFB0576" w:rsidR="001E56D8" w:rsidRDefault="005A0E17" w:rsidP="005A0E17">
      <w:pPr>
        <w:spacing w:line="276" w:lineRule="auto"/>
        <w:ind w:firstLine="720"/>
      </w:pPr>
      <w:r>
        <w:t>The calculations for the Rate Impact Module of the Customer Sector focus on different rate mechanisms and energy efficiency impact on rates. It also contains calculations of the levelized cost of energy</w:t>
      </w:r>
      <w:r w:rsidR="009E3938">
        <w:t xml:space="preserve"> saved</w:t>
      </w:r>
      <w:r>
        <w:t xml:space="preserve"> from the energy efficiency.</w:t>
      </w:r>
    </w:p>
    <w:p w14:paraId="345C938C" w14:textId="77777777" w:rsidR="00A47BCA" w:rsidRDefault="00A47BCA" w:rsidP="005A0E17">
      <w:pPr>
        <w:spacing w:line="276" w:lineRule="auto"/>
        <w:ind w:firstLine="720"/>
      </w:pPr>
    </w:p>
    <w:p w14:paraId="0F0CC603" w14:textId="77777777" w:rsidR="001E56D8" w:rsidRDefault="001E56D8">
      <w:pPr>
        <w:pStyle w:val="Heading4"/>
        <w:spacing w:line="276" w:lineRule="auto"/>
      </w:pPr>
      <w:r>
        <w:t>Fundamental Sub-Module</w:t>
      </w:r>
    </w:p>
    <w:p w14:paraId="5ECDCD4C" w14:textId="6B0D7953" w:rsidR="001E56D8" w:rsidRDefault="001E56D8" w:rsidP="005D54CE">
      <w:pPr>
        <w:spacing w:line="276" w:lineRule="auto"/>
        <w:ind w:firstLine="720"/>
      </w:pPr>
      <w:r>
        <w:t xml:space="preserve">The </w:t>
      </w:r>
      <w:r w:rsidR="00AB43ED">
        <w:t xml:space="preserve">Fundamental </w:t>
      </w:r>
      <w:r>
        <w:t xml:space="preserve">sub-module of the </w:t>
      </w:r>
      <w:r w:rsidR="00AB43ED">
        <w:t xml:space="preserve">Rate Impact </w:t>
      </w:r>
      <w:r>
        <w:t xml:space="preserve">module primarily contains annual projection forecasts. </w:t>
      </w:r>
      <w:r w:rsidR="00970C2A">
        <w:t>It also includes information pulled from the following sub-modules</w:t>
      </w:r>
      <w:r w:rsidR="009E3938">
        <w:t>,</w:t>
      </w:r>
      <w:r w:rsidR="00970C2A">
        <w:t xml:space="preserve"> but this is simply an aggregation of information from the other calculations. </w:t>
      </w:r>
      <w:r>
        <w:t>The</w:t>
      </w:r>
      <w:r w:rsidR="00970C2A">
        <w:t xml:space="preserve"> annual projection forecasts</w:t>
      </w:r>
      <w:r>
        <w:t xml:space="preserve"> consist of a standard form of growth equation:</w:t>
      </w:r>
    </w:p>
    <w:p w14:paraId="1849D82B" w14:textId="77777777" w:rsidR="005E4890" w:rsidRPr="00EF46B8" w:rsidRDefault="00E926DB" w:rsidP="005D54CE">
      <w:pPr>
        <w:spacing w:line="276" w:lineRule="auto"/>
        <w:jc w:val="center"/>
        <w:rPr>
          <w:i/>
        </w:rPr>
      </w:pPr>
      <w:proofErr w:type="spellStart"/>
      <w:proofErr w:type="gramStart"/>
      <w:r w:rsidRPr="00EF46B8">
        <w:rPr>
          <w:i/>
        </w:rPr>
        <w:t>x</w:t>
      </w:r>
      <w:r w:rsidRPr="00EF46B8">
        <w:rPr>
          <w:i/>
          <w:vertAlign w:val="subscript"/>
        </w:rPr>
        <w:t>t</w:t>
      </w:r>
      <w:proofErr w:type="spellEnd"/>
      <w:proofErr w:type="gramEnd"/>
      <w:r w:rsidRPr="00EF46B8">
        <w:rPr>
          <w:i/>
        </w:rPr>
        <w:t xml:space="preserve"> = x</w:t>
      </w:r>
      <w:r w:rsidRPr="00EF46B8">
        <w:rPr>
          <w:i/>
          <w:vertAlign w:val="subscript"/>
        </w:rPr>
        <w:t>t-1</w:t>
      </w:r>
      <w:r w:rsidRPr="00EF46B8">
        <w:rPr>
          <w:i/>
        </w:rPr>
        <w:t xml:space="preserve"> * (1 + %</w:t>
      </w:r>
      <w:proofErr w:type="spellStart"/>
      <w:r w:rsidRPr="00EF46B8">
        <w:rPr>
          <w:i/>
        </w:rPr>
        <w:t>AvgChange</w:t>
      </w:r>
      <w:proofErr w:type="spellEnd"/>
      <w:r w:rsidRPr="00EF46B8">
        <w:rPr>
          <w:i/>
        </w:rPr>
        <w:t>)</w:t>
      </w:r>
    </w:p>
    <w:p w14:paraId="63F6B140" w14:textId="1638435A" w:rsidR="005E4890" w:rsidRDefault="00BA723D" w:rsidP="005D54CE">
      <w:pPr>
        <w:spacing w:line="276" w:lineRule="auto"/>
      </w:pPr>
      <w:proofErr w:type="gramStart"/>
      <w:r>
        <w:t>w</w:t>
      </w:r>
      <w:r w:rsidR="005E4890">
        <w:t>here</w:t>
      </w:r>
      <w:proofErr w:type="gramEnd"/>
      <w:r w:rsidR="005E4890">
        <w:t xml:space="preserve"> </w:t>
      </w:r>
      <w:r w:rsidR="005E4890" w:rsidRPr="000B088F">
        <w:rPr>
          <w:i/>
        </w:rPr>
        <w:t>t</w:t>
      </w:r>
      <w:r w:rsidR="005E4890">
        <w:t xml:space="preserve"> is a year index. </w:t>
      </w:r>
    </w:p>
    <w:p w14:paraId="09FAD6F8" w14:textId="77777777" w:rsidR="00AB01A4" w:rsidRDefault="00AB01A4" w:rsidP="006E5E1A">
      <w:pPr>
        <w:spacing w:line="276" w:lineRule="auto"/>
      </w:pPr>
    </w:p>
    <w:p w14:paraId="77159F17" w14:textId="57C44EC1" w:rsidR="001E56D8" w:rsidRDefault="00A27912" w:rsidP="004127E3">
      <w:pPr>
        <w:spacing w:line="276" w:lineRule="auto"/>
      </w:pPr>
      <w:r>
        <w:t xml:space="preserve">There are </w:t>
      </w:r>
      <w:r w:rsidR="009E3938">
        <w:t>two</w:t>
      </w:r>
      <w:r w:rsidR="001E56D8">
        <w:t xml:space="preserve"> notable exceptions to this. </w:t>
      </w:r>
    </w:p>
    <w:p w14:paraId="13851BA3" w14:textId="77777777" w:rsidR="00AA7A99" w:rsidRDefault="001E56D8" w:rsidP="00A47BCA">
      <w:pPr>
        <w:spacing w:line="276" w:lineRule="auto"/>
        <w:ind w:firstLine="720"/>
      </w:pPr>
      <w:r>
        <w:t xml:space="preserve">The first </w:t>
      </w:r>
      <w:r w:rsidR="005E4890">
        <w:t xml:space="preserve">exception </w:t>
      </w:r>
      <w:r>
        <w:t xml:space="preserve">is the average </w:t>
      </w:r>
      <w:r w:rsidR="005E4890">
        <w:t xml:space="preserve">total </w:t>
      </w:r>
      <w:r>
        <w:t xml:space="preserve">rate, which is the sum of the variable and the fixed rate. </w:t>
      </w:r>
      <w:r w:rsidR="007F42A3">
        <w:t>T</w:t>
      </w:r>
      <w:r>
        <w:t>he variable and the fixed rate are calculated separately</w:t>
      </w:r>
      <w:r w:rsidR="00834087">
        <w:t xml:space="preserve"> and have two different </w:t>
      </w:r>
      <w:r w:rsidR="007F42A3">
        <w:t xml:space="preserve">possible </w:t>
      </w:r>
      <w:r w:rsidR="00834087">
        <w:t>methods of calculation</w:t>
      </w:r>
      <w:r w:rsidR="007F42A3">
        <w:t>. The method</w:t>
      </w:r>
      <w:r w:rsidR="00834087">
        <w:t xml:space="preserve"> can be selected </w:t>
      </w:r>
      <w:r w:rsidR="007F42A3">
        <w:t>by</w:t>
      </w:r>
      <w:r w:rsidR="00834087">
        <w:t xml:space="preserve"> the </w:t>
      </w:r>
      <w:r w:rsidR="007F42A3">
        <w:t>“</w:t>
      </w:r>
      <w:r w:rsidR="00834087">
        <w:t>Use Utility Revenue Requirements for Variable Rate</w:t>
      </w:r>
      <w:r w:rsidR="007F42A3">
        <w:t>”</w:t>
      </w:r>
      <w:r w:rsidR="00834087">
        <w:t xml:space="preserve"> and </w:t>
      </w:r>
      <w:r w:rsidR="007F42A3">
        <w:t>“</w:t>
      </w:r>
      <w:r w:rsidR="00834087">
        <w:t>Use Utility Revenue Requirements for Fixed Rate</w:t>
      </w:r>
      <w:r w:rsidR="007F42A3">
        <w:t>”</w:t>
      </w:r>
      <w:r w:rsidR="00834087">
        <w:t xml:space="preserve"> inputs (see </w:t>
      </w:r>
      <w:r w:rsidR="00C56E72">
        <w:t>2.1.1.1)</w:t>
      </w:r>
      <w:r>
        <w:t>.</w:t>
      </w:r>
      <w:r w:rsidR="00C56E72">
        <w:t xml:space="preserve"> </w:t>
      </w:r>
    </w:p>
    <w:p w14:paraId="7481ED71" w14:textId="77777777" w:rsidR="00AA7A99" w:rsidRDefault="00AA7A99" w:rsidP="00E214BA">
      <w:pPr>
        <w:spacing w:line="276" w:lineRule="auto"/>
        <w:ind w:firstLine="720"/>
      </w:pPr>
      <w:r>
        <w:t>The first method</w:t>
      </w:r>
      <w:r w:rsidR="007F42A3">
        <w:t xml:space="preserve"> used to calculate</w:t>
      </w:r>
      <w:r>
        <w:t xml:space="preserve"> the annual variable or fixed rate is simply a standard growth calculation as shown above. The second method</w:t>
      </w:r>
      <w:r w:rsidR="00614C8B">
        <w:t xml:space="preserve"> for calculating the variable and fixed rate</w:t>
      </w:r>
      <w:r>
        <w:t xml:space="preserve"> uses the utility revenue requirement in a formula as follows:</w:t>
      </w:r>
    </w:p>
    <w:p w14:paraId="377EEEDA" w14:textId="77777777" w:rsidR="00AA7A99" w:rsidRPr="00EF46B8" w:rsidRDefault="00AA7A99" w:rsidP="00991DD9">
      <w:pPr>
        <w:spacing w:line="276" w:lineRule="auto"/>
        <w:jc w:val="center"/>
        <w:rPr>
          <w:i/>
        </w:rPr>
      </w:pPr>
      <w:proofErr w:type="spellStart"/>
      <w:proofErr w:type="gramStart"/>
      <w:r w:rsidRPr="00EF46B8">
        <w:rPr>
          <w:i/>
        </w:rPr>
        <w:t>rate</w:t>
      </w:r>
      <w:r w:rsidRPr="00EF46B8">
        <w:rPr>
          <w:i/>
          <w:vertAlign w:val="subscript"/>
        </w:rPr>
        <w:t>t</w:t>
      </w:r>
      <w:proofErr w:type="spellEnd"/>
      <w:proofErr w:type="gramEnd"/>
      <w:r w:rsidRPr="00EF46B8">
        <w:rPr>
          <w:i/>
        </w:rPr>
        <w:t xml:space="preserve"> = </w:t>
      </w:r>
      <w:proofErr w:type="spellStart"/>
      <w:r w:rsidRPr="00EF46B8">
        <w:rPr>
          <w:i/>
        </w:rPr>
        <w:t>cost</w:t>
      </w:r>
      <w:r w:rsidRPr="00EF46B8">
        <w:rPr>
          <w:i/>
          <w:vertAlign w:val="subscript"/>
        </w:rPr>
        <w:t>t</w:t>
      </w:r>
      <w:proofErr w:type="spellEnd"/>
      <w:r w:rsidRPr="00EF46B8">
        <w:rPr>
          <w:i/>
        </w:rPr>
        <w:t xml:space="preserve"> / </w:t>
      </w:r>
      <w:proofErr w:type="spellStart"/>
      <w:r w:rsidRPr="00EF46B8">
        <w:rPr>
          <w:i/>
        </w:rPr>
        <w:t>sales</w:t>
      </w:r>
      <w:r w:rsidRPr="00EF46B8">
        <w:rPr>
          <w:i/>
          <w:vertAlign w:val="subscript"/>
        </w:rPr>
        <w:t>t</w:t>
      </w:r>
      <w:proofErr w:type="spellEnd"/>
    </w:p>
    <w:p w14:paraId="1B9E0321" w14:textId="77777777" w:rsidR="005E4890" w:rsidRDefault="005E4890">
      <w:pPr>
        <w:spacing w:line="276" w:lineRule="auto"/>
      </w:pPr>
    </w:p>
    <w:p w14:paraId="17EACBFA" w14:textId="77777777" w:rsidR="001E56D8" w:rsidRDefault="001E56D8">
      <w:pPr>
        <w:spacing w:line="276" w:lineRule="auto"/>
        <w:ind w:firstLine="720"/>
      </w:pPr>
      <w:r>
        <w:t xml:space="preserve">The second exception from the standard growth equation is the projection </w:t>
      </w:r>
      <w:r w:rsidR="00614C8B">
        <w:t xml:space="preserve">of </w:t>
      </w:r>
      <w:r>
        <w:t xml:space="preserve">sales in the </w:t>
      </w:r>
      <w:r w:rsidR="00614C8B">
        <w:t xml:space="preserve">energy efficiency </w:t>
      </w:r>
      <w:r>
        <w:t xml:space="preserve">case. In each year the sales have the standard growth </w:t>
      </w:r>
      <w:r w:rsidR="00614C8B">
        <w:t xml:space="preserve">rate </w:t>
      </w:r>
      <w:r>
        <w:t>applied but then ha</w:t>
      </w:r>
      <w:r w:rsidR="005E4890">
        <w:t>ve</w:t>
      </w:r>
      <w:r>
        <w:t xml:space="preserve"> the program savings for the year removed. This is shown below:</w:t>
      </w:r>
    </w:p>
    <w:p w14:paraId="259FF822" w14:textId="77777777" w:rsidR="001E56D8" w:rsidRPr="00EF46B8" w:rsidRDefault="00E926DB">
      <w:pPr>
        <w:spacing w:line="276" w:lineRule="auto"/>
        <w:jc w:val="center"/>
        <w:rPr>
          <w:i/>
        </w:rPr>
      </w:pPr>
      <w:proofErr w:type="spellStart"/>
      <w:proofErr w:type="gramStart"/>
      <w:r w:rsidRPr="00EF46B8">
        <w:rPr>
          <w:i/>
        </w:rPr>
        <w:t>sales</w:t>
      </w:r>
      <w:r w:rsidRPr="00EF46B8">
        <w:rPr>
          <w:i/>
          <w:vertAlign w:val="subscript"/>
        </w:rPr>
        <w:t>t</w:t>
      </w:r>
      <w:proofErr w:type="spellEnd"/>
      <w:proofErr w:type="gramEnd"/>
      <w:r w:rsidRPr="00EF46B8">
        <w:rPr>
          <w:i/>
        </w:rPr>
        <w:t xml:space="preserve"> = </w:t>
      </w:r>
      <w:r w:rsidR="005E4890">
        <w:rPr>
          <w:i/>
        </w:rPr>
        <w:t>[</w:t>
      </w:r>
      <w:r w:rsidRPr="00EF46B8">
        <w:rPr>
          <w:i/>
        </w:rPr>
        <w:t>sales</w:t>
      </w:r>
      <w:r w:rsidRPr="00EF46B8">
        <w:rPr>
          <w:i/>
          <w:vertAlign w:val="subscript"/>
        </w:rPr>
        <w:t>t-1</w:t>
      </w:r>
      <w:r w:rsidRPr="00EF46B8">
        <w:rPr>
          <w:i/>
        </w:rPr>
        <w:t xml:space="preserve"> * (1 + %</w:t>
      </w:r>
      <w:proofErr w:type="spellStart"/>
      <w:r w:rsidRPr="00EF46B8">
        <w:rPr>
          <w:i/>
        </w:rPr>
        <w:t>AvgChange</w:t>
      </w:r>
      <w:proofErr w:type="spellEnd"/>
      <w:r w:rsidRPr="00EF46B8">
        <w:rPr>
          <w:i/>
        </w:rPr>
        <w:t>)</w:t>
      </w:r>
      <w:r w:rsidR="005E4890">
        <w:rPr>
          <w:i/>
        </w:rPr>
        <w:t>]</w:t>
      </w:r>
      <w:r w:rsidRPr="00EF46B8">
        <w:rPr>
          <w:i/>
        </w:rPr>
        <w:t xml:space="preserve"> - </w:t>
      </w:r>
      <w:proofErr w:type="spellStart"/>
      <w:r w:rsidRPr="00EF46B8">
        <w:rPr>
          <w:i/>
        </w:rPr>
        <w:t>savings</w:t>
      </w:r>
      <w:r w:rsidRPr="00EF46B8">
        <w:rPr>
          <w:i/>
          <w:vertAlign w:val="subscript"/>
        </w:rPr>
        <w:t>t</w:t>
      </w:r>
      <w:proofErr w:type="spellEnd"/>
    </w:p>
    <w:p w14:paraId="04FF00AE" w14:textId="77777777" w:rsidR="00A35BE3" w:rsidRDefault="00A35BE3">
      <w:pPr>
        <w:spacing w:line="276" w:lineRule="auto"/>
      </w:pPr>
    </w:p>
    <w:p w14:paraId="45C9BBE6" w14:textId="77777777" w:rsidR="00A35BE3" w:rsidRDefault="00A35BE3" w:rsidP="00E22B98">
      <w:pPr>
        <w:pStyle w:val="Heading4"/>
        <w:spacing w:line="276" w:lineRule="auto"/>
      </w:pPr>
      <w:r>
        <w:t>Program Cost Recovery Sub-Module</w:t>
      </w:r>
    </w:p>
    <w:p w14:paraId="3EA5ECCE" w14:textId="77777777" w:rsidR="00AA7A99" w:rsidRDefault="00AA7A99" w:rsidP="00E22B98">
      <w:pPr>
        <w:pStyle w:val="BodyText"/>
        <w:spacing w:line="276" w:lineRule="auto"/>
        <w:ind w:firstLine="720"/>
      </w:pPr>
      <w:r>
        <w:t xml:space="preserve">The </w:t>
      </w:r>
      <w:r w:rsidR="00AB43ED">
        <w:t>P</w:t>
      </w:r>
      <w:r>
        <w:t xml:space="preserve">rogram </w:t>
      </w:r>
      <w:r w:rsidR="00AB43ED">
        <w:t>C</w:t>
      </w:r>
      <w:r>
        <w:t xml:space="preserve">ost </w:t>
      </w:r>
      <w:r w:rsidR="00AB43ED">
        <w:t>R</w:t>
      </w:r>
      <w:r>
        <w:t xml:space="preserve">ecovery sub-module of the </w:t>
      </w:r>
      <w:r w:rsidR="00AB43ED">
        <w:t>R</w:t>
      </w:r>
      <w:r>
        <w:t xml:space="preserve">ate </w:t>
      </w:r>
      <w:r w:rsidR="00AB43ED">
        <w:t>I</w:t>
      </w:r>
      <w:r>
        <w:t xml:space="preserve">mpact module contains two different methods for the program costs to be recovered. </w:t>
      </w:r>
      <w:r w:rsidR="005E4890">
        <w:t xml:space="preserve">The method </w:t>
      </w:r>
      <w:r w:rsidR="00FA7D18">
        <w:t xml:space="preserve">to be </w:t>
      </w:r>
      <w:r w:rsidR="005E4890">
        <w:t xml:space="preserve">used </w:t>
      </w:r>
      <w:r>
        <w:t xml:space="preserve">can be selected based on the inputs to this sub-module (see 2.1.1.2). </w:t>
      </w:r>
    </w:p>
    <w:p w14:paraId="7E7A7FD6" w14:textId="77777777" w:rsidR="00AA7A99" w:rsidRDefault="00AA7A99" w:rsidP="00E22B98">
      <w:pPr>
        <w:pStyle w:val="BodyText"/>
        <w:spacing w:line="276" w:lineRule="auto"/>
        <w:ind w:firstLine="720"/>
      </w:pPr>
      <w:r>
        <w:t>The first method is a simpl</w:t>
      </w:r>
      <w:r w:rsidR="00FA7D18">
        <w:t>e expensing method that recover</w:t>
      </w:r>
      <w:r>
        <w:t xml:space="preserve">s all of the program costs in the same year in which they are </w:t>
      </w:r>
      <w:r w:rsidR="005E4890">
        <w:t>incurred</w:t>
      </w:r>
      <w:r>
        <w:t>. The formula is simply:</w:t>
      </w:r>
    </w:p>
    <w:p w14:paraId="3C872F40" w14:textId="77777777" w:rsidR="00AA7A99" w:rsidRPr="00EF46B8" w:rsidRDefault="00AA7A99" w:rsidP="005D54CE">
      <w:pPr>
        <w:spacing w:line="276" w:lineRule="auto"/>
        <w:jc w:val="center"/>
        <w:rPr>
          <w:i/>
        </w:rPr>
      </w:pPr>
      <w:proofErr w:type="spellStart"/>
      <w:proofErr w:type="gramStart"/>
      <w:r w:rsidRPr="00EF46B8">
        <w:rPr>
          <w:i/>
        </w:rPr>
        <w:t>rate</w:t>
      </w:r>
      <w:r w:rsidRPr="00EF46B8">
        <w:rPr>
          <w:i/>
          <w:vertAlign w:val="subscript"/>
        </w:rPr>
        <w:t>t</w:t>
      </w:r>
      <w:proofErr w:type="spellEnd"/>
      <w:proofErr w:type="gramEnd"/>
      <w:r w:rsidRPr="00EF46B8">
        <w:rPr>
          <w:i/>
        </w:rPr>
        <w:t xml:space="preserve"> = </w:t>
      </w:r>
      <w:proofErr w:type="spellStart"/>
      <w:r w:rsidRPr="00EF46B8">
        <w:rPr>
          <w:i/>
        </w:rPr>
        <w:t>cost</w:t>
      </w:r>
      <w:r w:rsidRPr="00EF46B8">
        <w:rPr>
          <w:i/>
          <w:vertAlign w:val="subscript"/>
        </w:rPr>
        <w:t>t</w:t>
      </w:r>
      <w:proofErr w:type="spellEnd"/>
      <w:r w:rsidRPr="00EF46B8">
        <w:rPr>
          <w:i/>
        </w:rPr>
        <w:t xml:space="preserve"> / </w:t>
      </w:r>
      <w:proofErr w:type="spellStart"/>
      <w:r w:rsidRPr="00EF46B8">
        <w:rPr>
          <w:i/>
        </w:rPr>
        <w:t>sales</w:t>
      </w:r>
      <w:r w:rsidRPr="00EF46B8">
        <w:rPr>
          <w:i/>
          <w:vertAlign w:val="subscript"/>
        </w:rPr>
        <w:t>t</w:t>
      </w:r>
      <w:proofErr w:type="spellEnd"/>
    </w:p>
    <w:p w14:paraId="292C837E" w14:textId="77777777" w:rsidR="005E4890" w:rsidRDefault="00D9056E" w:rsidP="00E22B98">
      <w:pPr>
        <w:pStyle w:val="BodyText"/>
        <w:spacing w:line="276" w:lineRule="auto"/>
      </w:pPr>
      <w:r>
        <w:t>This distributes the recovery of costs evenly across all sa</w:t>
      </w:r>
      <w:r w:rsidR="00AB01A4">
        <w:t xml:space="preserve">les within the customer class. </w:t>
      </w:r>
    </w:p>
    <w:p w14:paraId="43D0466D" w14:textId="644F8859" w:rsidR="00E926DB" w:rsidRDefault="00AA7A99" w:rsidP="00E22B98">
      <w:pPr>
        <w:pStyle w:val="BodyText"/>
        <w:spacing w:line="276" w:lineRule="auto"/>
        <w:ind w:firstLine="720"/>
      </w:pPr>
      <w:r>
        <w:t xml:space="preserve">The second method is to amortize the cost over a given period. The length of the period can be specified in the inputs (again, see 2.1.1.2). </w:t>
      </w:r>
      <w:proofErr w:type="gramStart"/>
      <w:r>
        <w:t xml:space="preserve">The </w:t>
      </w:r>
      <w:r w:rsidR="00201D92">
        <w:t>excel</w:t>
      </w:r>
      <w:proofErr w:type="gramEnd"/>
      <w:r w:rsidR="00201D92">
        <w:t xml:space="preserve"> built in </w:t>
      </w:r>
      <w:r>
        <w:t>formula is</w:t>
      </w:r>
      <w:r w:rsidR="00201D92">
        <w:t xml:space="preserve"> used. </w:t>
      </w:r>
      <w:r w:rsidR="00D65BC4">
        <w:t xml:space="preserve">This is done </w:t>
      </w:r>
      <w:r w:rsidR="00EF46B8">
        <w:t>independently</w:t>
      </w:r>
      <w:r w:rsidR="00D65BC4">
        <w:t xml:space="preserve"> for the costs in each </w:t>
      </w:r>
      <w:r w:rsidR="005E4890">
        <w:t xml:space="preserve">program </w:t>
      </w:r>
      <w:r w:rsidR="00D65BC4">
        <w:t xml:space="preserve">year and then summed across all </w:t>
      </w:r>
      <w:r w:rsidR="005E4890">
        <w:t xml:space="preserve">programs </w:t>
      </w:r>
      <w:r w:rsidR="00D65BC4">
        <w:t xml:space="preserve">to get the program cost recovery rate in each given year. </w:t>
      </w:r>
    </w:p>
    <w:p w14:paraId="44613625" w14:textId="77777777" w:rsidR="00A47BCA" w:rsidRDefault="00A47BCA" w:rsidP="00E22B98">
      <w:pPr>
        <w:pStyle w:val="BodyText"/>
        <w:spacing w:line="276" w:lineRule="auto"/>
        <w:ind w:firstLine="720"/>
      </w:pPr>
    </w:p>
    <w:p w14:paraId="08030B0D" w14:textId="3954460C" w:rsidR="00A35BE3" w:rsidRDefault="00A35BE3" w:rsidP="00E22B98">
      <w:pPr>
        <w:pStyle w:val="Heading4"/>
        <w:spacing w:line="276" w:lineRule="auto"/>
      </w:pPr>
      <w:r>
        <w:t>Lost Revenue Recovery Sub-Module</w:t>
      </w:r>
    </w:p>
    <w:p w14:paraId="595CB4E8" w14:textId="77777777" w:rsidR="00AC2C18" w:rsidRDefault="00D65BC4" w:rsidP="00E22B98">
      <w:pPr>
        <w:pStyle w:val="BodyText"/>
        <w:spacing w:line="276" w:lineRule="auto"/>
        <w:ind w:firstLine="720"/>
      </w:pPr>
      <w:r>
        <w:t xml:space="preserve">The Lost Revenue Recovery sub-module of the Rate Impact module contains three different methods for </w:t>
      </w:r>
      <w:r w:rsidR="00B74788">
        <w:t xml:space="preserve">recovering </w:t>
      </w:r>
      <w:r>
        <w:t>revenue lost due to reduced sales. The method used for th</w:t>
      </w:r>
      <w:r w:rsidR="00983EC8">
        <w:t>is</w:t>
      </w:r>
      <w:r>
        <w:t xml:space="preserve"> particular analysis can be selected based on the inputs to this sub-module (see 2.1.1.3). </w:t>
      </w:r>
    </w:p>
    <w:p w14:paraId="75A7181A" w14:textId="14C336DF" w:rsidR="00D65BC4" w:rsidRDefault="00D65BC4" w:rsidP="00E22B98">
      <w:pPr>
        <w:pStyle w:val="BodyText"/>
        <w:spacing w:line="276" w:lineRule="auto"/>
        <w:ind w:firstLine="720"/>
      </w:pPr>
      <w:r>
        <w:t xml:space="preserve">The first method is a lost revenue adjustment mechanism. </w:t>
      </w:r>
      <w:r w:rsidR="002B3731">
        <w:t xml:space="preserve">This calculation is done </w:t>
      </w:r>
      <w:r w:rsidR="00CE100B">
        <w:t>based on projected savings for the year ahead.</w:t>
      </w:r>
      <w:r w:rsidR="002B3731">
        <w:t xml:space="preserve"> It</w:t>
      </w:r>
      <w:r>
        <w:t xml:space="preserve"> is calculated as follows:</w:t>
      </w:r>
      <w:r w:rsidR="00A47BCA" w:rsidDel="00A47BCA">
        <w:t xml:space="preserve"> </w:t>
      </w: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900"/>
        <w:gridCol w:w="4320"/>
        <w:gridCol w:w="2880"/>
      </w:tblGrid>
      <w:tr w:rsidR="0040145C" w14:paraId="23E847A2" w14:textId="77777777" w:rsidTr="008136D2">
        <w:tc>
          <w:tcPr>
            <w:tcW w:w="900" w:type="dxa"/>
            <w:tcBorders>
              <w:top w:val="single" w:sz="8" w:space="0" w:color="7BA0CD"/>
              <w:left w:val="single" w:sz="8" w:space="0" w:color="7BA0CD"/>
              <w:bottom w:val="single" w:sz="8" w:space="0" w:color="7BA0CD"/>
              <w:right w:val="nil"/>
            </w:tcBorders>
            <w:shd w:val="clear" w:color="auto" w:fill="4F81BD"/>
          </w:tcPr>
          <w:p w14:paraId="26548539" w14:textId="77777777" w:rsidR="00D65BC4" w:rsidRPr="00EF46B8" w:rsidRDefault="00D65BC4" w:rsidP="00E22B98">
            <w:pPr>
              <w:pStyle w:val="BodyText"/>
              <w:spacing w:line="276" w:lineRule="auto"/>
              <w:ind w:firstLine="720"/>
              <w:rPr>
                <w:b/>
                <w:bCs/>
                <w:color w:val="FFFFFF"/>
              </w:rPr>
            </w:pPr>
          </w:p>
        </w:tc>
        <w:tc>
          <w:tcPr>
            <w:tcW w:w="4320" w:type="dxa"/>
            <w:tcBorders>
              <w:top w:val="single" w:sz="8" w:space="0" w:color="7BA0CD"/>
              <w:left w:val="nil"/>
              <w:bottom w:val="single" w:sz="8" w:space="0" w:color="7BA0CD"/>
              <w:right w:val="nil"/>
            </w:tcBorders>
            <w:shd w:val="clear" w:color="auto" w:fill="4F81BD"/>
          </w:tcPr>
          <w:p w14:paraId="1387A537" w14:textId="77777777" w:rsidR="00D65BC4" w:rsidRPr="00EF46B8" w:rsidRDefault="00D65BC4" w:rsidP="00E22B98">
            <w:pPr>
              <w:pStyle w:val="BodyText"/>
              <w:spacing w:line="276" w:lineRule="auto"/>
              <w:jc w:val="center"/>
              <w:rPr>
                <w:b/>
                <w:bCs/>
                <w:color w:val="FFFFFF"/>
              </w:rPr>
            </w:pPr>
            <w:r w:rsidRPr="00EF46B8">
              <w:rPr>
                <w:b/>
                <w:bCs/>
                <w:color w:val="FFFFFF"/>
              </w:rPr>
              <w:t>Name</w:t>
            </w:r>
          </w:p>
        </w:tc>
        <w:tc>
          <w:tcPr>
            <w:tcW w:w="2880" w:type="dxa"/>
            <w:tcBorders>
              <w:top w:val="single" w:sz="8" w:space="0" w:color="7BA0CD"/>
              <w:left w:val="nil"/>
              <w:bottom w:val="single" w:sz="8" w:space="0" w:color="7BA0CD"/>
              <w:right w:val="single" w:sz="8" w:space="0" w:color="7BA0CD"/>
            </w:tcBorders>
            <w:shd w:val="clear" w:color="auto" w:fill="4F81BD"/>
          </w:tcPr>
          <w:p w14:paraId="55D9E9B9" w14:textId="77777777" w:rsidR="00D65BC4" w:rsidRPr="00EF46B8" w:rsidRDefault="002B3731" w:rsidP="00E22B98">
            <w:pPr>
              <w:pStyle w:val="BodyText"/>
              <w:spacing w:line="276" w:lineRule="auto"/>
              <w:jc w:val="center"/>
              <w:rPr>
                <w:b/>
                <w:bCs/>
                <w:color w:val="FFFFFF"/>
              </w:rPr>
            </w:pPr>
            <w:r w:rsidRPr="00EF46B8">
              <w:rPr>
                <w:b/>
                <w:bCs/>
                <w:color w:val="FFFFFF"/>
              </w:rPr>
              <w:t>Calculation</w:t>
            </w:r>
          </w:p>
        </w:tc>
      </w:tr>
      <w:tr w:rsidR="009305BA" w14:paraId="69A5E13E" w14:textId="77777777" w:rsidTr="008136D2">
        <w:tc>
          <w:tcPr>
            <w:tcW w:w="900" w:type="dxa"/>
            <w:tcBorders>
              <w:right w:val="nil"/>
            </w:tcBorders>
            <w:shd w:val="clear" w:color="auto" w:fill="D3DFEE"/>
          </w:tcPr>
          <w:p w14:paraId="2110DB22" w14:textId="77777777" w:rsidR="00D65BC4" w:rsidRPr="008136D2" w:rsidRDefault="00D65BC4" w:rsidP="00E22B98">
            <w:pPr>
              <w:pStyle w:val="BodyText"/>
              <w:spacing w:line="276" w:lineRule="auto"/>
              <w:jc w:val="center"/>
              <w:rPr>
                <w:b/>
                <w:bCs/>
              </w:rPr>
            </w:pPr>
            <w:r w:rsidRPr="008136D2">
              <w:rPr>
                <w:b/>
                <w:bCs/>
              </w:rPr>
              <w:t>A</w:t>
            </w:r>
          </w:p>
        </w:tc>
        <w:tc>
          <w:tcPr>
            <w:tcW w:w="4320" w:type="dxa"/>
            <w:tcBorders>
              <w:left w:val="nil"/>
              <w:right w:val="nil"/>
            </w:tcBorders>
            <w:shd w:val="clear" w:color="auto" w:fill="D3DFEE"/>
          </w:tcPr>
          <w:p w14:paraId="1EB3738E" w14:textId="77777777" w:rsidR="00D65BC4" w:rsidRDefault="00D65BC4" w:rsidP="00A47BCA">
            <w:pPr>
              <w:pStyle w:val="BodyText"/>
              <w:jc w:val="center"/>
            </w:pPr>
            <w:r>
              <w:t>Fixed Cost Rate</w:t>
            </w:r>
          </w:p>
        </w:tc>
        <w:tc>
          <w:tcPr>
            <w:tcW w:w="2880" w:type="dxa"/>
            <w:tcBorders>
              <w:left w:val="nil"/>
            </w:tcBorders>
            <w:shd w:val="clear" w:color="auto" w:fill="D3DFEE"/>
          </w:tcPr>
          <w:p w14:paraId="6564DE02" w14:textId="77777777" w:rsidR="00D65BC4" w:rsidRPr="00EF46B8" w:rsidRDefault="00D65BC4" w:rsidP="00E214BA">
            <w:pPr>
              <w:pStyle w:val="BodyText"/>
              <w:jc w:val="center"/>
              <w:rPr>
                <w:i/>
              </w:rPr>
            </w:pPr>
            <w:r w:rsidRPr="00EF46B8">
              <w:rPr>
                <w:i/>
              </w:rPr>
              <w:t>Input</w:t>
            </w:r>
          </w:p>
        </w:tc>
      </w:tr>
      <w:tr w:rsidR="009305BA" w14:paraId="2E06D9EC" w14:textId="77777777" w:rsidTr="008136D2">
        <w:tc>
          <w:tcPr>
            <w:tcW w:w="900" w:type="dxa"/>
            <w:tcBorders>
              <w:right w:val="nil"/>
            </w:tcBorders>
            <w:shd w:val="clear" w:color="auto" w:fill="auto"/>
          </w:tcPr>
          <w:p w14:paraId="1BBF04A8" w14:textId="77777777" w:rsidR="00D65BC4" w:rsidRPr="008136D2" w:rsidRDefault="00D65BC4" w:rsidP="00E22B98">
            <w:pPr>
              <w:pStyle w:val="BodyText"/>
              <w:spacing w:line="276" w:lineRule="auto"/>
              <w:jc w:val="center"/>
              <w:rPr>
                <w:b/>
                <w:bCs/>
              </w:rPr>
            </w:pPr>
            <w:r w:rsidRPr="008136D2">
              <w:rPr>
                <w:b/>
                <w:bCs/>
              </w:rPr>
              <w:t>B</w:t>
            </w:r>
          </w:p>
        </w:tc>
        <w:tc>
          <w:tcPr>
            <w:tcW w:w="4320" w:type="dxa"/>
            <w:tcBorders>
              <w:left w:val="nil"/>
              <w:right w:val="nil"/>
            </w:tcBorders>
            <w:shd w:val="clear" w:color="auto" w:fill="auto"/>
          </w:tcPr>
          <w:p w14:paraId="0A22618C" w14:textId="77777777" w:rsidR="00D65BC4" w:rsidRDefault="00D65BC4" w:rsidP="00A47BCA">
            <w:pPr>
              <w:pStyle w:val="BodyText"/>
              <w:jc w:val="center"/>
            </w:pPr>
            <w:r>
              <w:t>Savings</w:t>
            </w:r>
          </w:p>
        </w:tc>
        <w:tc>
          <w:tcPr>
            <w:tcW w:w="2880" w:type="dxa"/>
            <w:tcBorders>
              <w:left w:val="nil"/>
            </w:tcBorders>
            <w:shd w:val="clear" w:color="auto" w:fill="auto"/>
          </w:tcPr>
          <w:p w14:paraId="6404FA65" w14:textId="77777777" w:rsidR="00D65BC4" w:rsidRPr="00EF46B8" w:rsidRDefault="00D65BC4" w:rsidP="00E214BA">
            <w:pPr>
              <w:pStyle w:val="BodyText"/>
              <w:jc w:val="center"/>
              <w:rPr>
                <w:i/>
              </w:rPr>
            </w:pPr>
            <w:r w:rsidRPr="00EF46B8">
              <w:rPr>
                <w:i/>
              </w:rPr>
              <w:t>Input</w:t>
            </w:r>
          </w:p>
        </w:tc>
      </w:tr>
      <w:tr w:rsidR="009305BA" w14:paraId="357B83D1" w14:textId="77777777" w:rsidTr="008136D2">
        <w:tc>
          <w:tcPr>
            <w:tcW w:w="900" w:type="dxa"/>
            <w:tcBorders>
              <w:right w:val="nil"/>
            </w:tcBorders>
            <w:shd w:val="clear" w:color="auto" w:fill="D3DFEE"/>
          </w:tcPr>
          <w:p w14:paraId="57E2F56B" w14:textId="77777777" w:rsidR="00D65BC4" w:rsidRPr="008136D2" w:rsidRDefault="00D65BC4" w:rsidP="00E22B98">
            <w:pPr>
              <w:pStyle w:val="BodyText"/>
              <w:spacing w:line="276" w:lineRule="auto"/>
              <w:jc w:val="center"/>
              <w:rPr>
                <w:b/>
                <w:bCs/>
              </w:rPr>
            </w:pPr>
            <w:r w:rsidRPr="008136D2">
              <w:rPr>
                <w:b/>
                <w:bCs/>
              </w:rPr>
              <w:t>C</w:t>
            </w:r>
          </w:p>
        </w:tc>
        <w:tc>
          <w:tcPr>
            <w:tcW w:w="4320" w:type="dxa"/>
            <w:tcBorders>
              <w:left w:val="nil"/>
              <w:right w:val="nil"/>
            </w:tcBorders>
            <w:shd w:val="clear" w:color="auto" w:fill="D3DFEE"/>
          </w:tcPr>
          <w:p w14:paraId="38EDFD09" w14:textId="77777777" w:rsidR="00D65BC4" w:rsidRDefault="00D65BC4" w:rsidP="00A47BCA">
            <w:pPr>
              <w:pStyle w:val="BodyText"/>
              <w:jc w:val="center"/>
            </w:pPr>
            <w:r>
              <w:t>Lost Fixed Cost</w:t>
            </w:r>
          </w:p>
        </w:tc>
        <w:tc>
          <w:tcPr>
            <w:tcW w:w="2880" w:type="dxa"/>
            <w:tcBorders>
              <w:left w:val="nil"/>
            </w:tcBorders>
            <w:shd w:val="clear" w:color="auto" w:fill="D3DFEE"/>
          </w:tcPr>
          <w:p w14:paraId="1D112314" w14:textId="77777777" w:rsidR="00D65BC4" w:rsidRPr="00EF46B8" w:rsidRDefault="00D65BC4" w:rsidP="00E214BA">
            <w:pPr>
              <w:pStyle w:val="BodyText"/>
              <w:jc w:val="center"/>
              <w:rPr>
                <w:b/>
              </w:rPr>
            </w:pPr>
            <w:r w:rsidRPr="00EF46B8">
              <w:rPr>
                <w:b/>
              </w:rPr>
              <w:t>A * B</w:t>
            </w:r>
          </w:p>
        </w:tc>
      </w:tr>
      <w:tr w:rsidR="009305BA" w14:paraId="5B05D939" w14:textId="77777777" w:rsidTr="008136D2">
        <w:tc>
          <w:tcPr>
            <w:tcW w:w="900" w:type="dxa"/>
            <w:tcBorders>
              <w:right w:val="nil"/>
            </w:tcBorders>
            <w:shd w:val="clear" w:color="auto" w:fill="auto"/>
          </w:tcPr>
          <w:p w14:paraId="5E7CC2B0" w14:textId="77777777" w:rsidR="00D65BC4" w:rsidRPr="008136D2" w:rsidRDefault="00D65BC4" w:rsidP="00E22B98">
            <w:pPr>
              <w:pStyle w:val="BodyText"/>
              <w:spacing w:line="276" w:lineRule="auto"/>
              <w:jc w:val="center"/>
              <w:rPr>
                <w:b/>
                <w:bCs/>
              </w:rPr>
            </w:pPr>
            <w:r w:rsidRPr="008136D2">
              <w:rPr>
                <w:b/>
                <w:bCs/>
              </w:rPr>
              <w:t>D</w:t>
            </w:r>
          </w:p>
        </w:tc>
        <w:tc>
          <w:tcPr>
            <w:tcW w:w="4320" w:type="dxa"/>
            <w:tcBorders>
              <w:left w:val="nil"/>
              <w:right w:val="nil"/>
            </w:tcBorders>
            <w:shd w:val="clear" w:color="auto" w:fill="auto"/>
          </w:tcPr>
          <w:p w14:paraId="7345CB00" w14:textId="43964DB7" w:rsidR="00D65BC4" w:rsidRDefault="00CE100B" w:rsidP="00A47BCA">
            <w:pPr>
              <w:pStyle w:val="BodyText"/>
              <w:jc w:val="center"/>
            </w:pPr>
            <w:r>
              <w:t xml:space="preserve">kWh </w:t>
            </w:r>
            <w:r w:rsidR="00D65BC4">
              <w:t>Sales</w:t>
            </w:r>
          </w:p>
        </w:tc>
        <w:tc>
          <w:tcPr>
            <w:tcW w:w="2880" w:type="dxa"/>
            <w:tcBorders>
              <w:left w:val="nil"/>
            </w:tcBorders>
            <w:shd w:val="clear" w:color="auto" w:fill="auto"/>
          </w:tcPr>
          <w:p w14:paraId="5789C2DF" w14:textId="77777777" w:rsidR="00D65BC4" w:rsidRPr="00EF46B8" w:rsidRDefault="00D65BC4" w:rsidP="00E214BA">
            <w:pPr>
              <w:pStyle w:val="BodyText"/>
              <w:jc w:val="center"/>
              <w:rPr>
                <w:i/>
              </w:rPr>
            </w:pPr>
            <w:r w:rsidRPr="00EF46B8">
              <w:rPr>
                <w:i/>
              </w:rPr>
              <w:t>Input</w:t>
            </w:r>
          </w:p>
        </w:tc>
      </w:tr>
      <w:tr w:rsidR="009305BA" w14:paraId="1536F690" w14:textId="77777777" w:rsidTr="008136D2">
        <w:tc>
          <w:tcPr>
            <w:tcW w:w="900" w:type="dxa"/>
            <w:tcBorders>
              <w:right w:val="nil"/>
            </w:tcBorders>
            <w:shd w:val="clear" w:color="auto" w:fill="D3DFEE"/>
          </w:tcPr>
          <w:p w14:paraId="0A6B5559" w14:textId="77777777" w:rsidR="00D65BC4" w:rsidRPr="008136D2" w:rsidRDefault="002B3731" w:rsidP="00E22B98">
            <w:pPr>
              <w:pStyle w:val="BodyText"/>
              <w:spacing w:line="276" w:lineRule="auto"/>
              <w:jc w:val="center"/>
              <w:rPr>
                <w:b/>
                <w:bCs/>
              </w:rPr>
            </w:pPr>
            <w:r w:rsidRPr="008136D2">
              <w:rPr>
                <w:b/>
                <w:bCs/>
              </w:rPr>
              <w:t>E</w:t>
            </w:r>
          </w:p>
        </w:tc>
        <w:tc>
          <w:tcPr>
            <w:tcW w:w="4320" w:type="dxa"/>
            <w:tcBorders>
              <w:left w:val="nil"/>
              <w:right w:val="nil"/>
            </w:tcBorders>
            <w:shd w:val="clear" w:color="auto" w:fill="D3DFEE"/>
          </w:tcPr>
          <w:p w14:paraId="52B5F18D" w14:textId="77777777" w:rsidR="00D65BC4" w:rsidRDefault="002B3731" w:rsidP="00A47BCA">
            <w:pPr>
              <w:pStyle w:val="BodyText"/>
              <w:jc w:val="center"/>
            </w:pPr>
            <w:r>
              <w:t>Lost Revenue Recovery Rate</w:t>
            </w:r>
          </w:p>
        </w:tc>
        <w:tc>
          <w:tcPr>
            <w:tcW w:w="2880" w:type="dxa"/>
            <w:tcBorders>
              <w:left w:val="nil"/>
            </w:tcBorders>
            <w:shd w:val="clear" w:color="auto" w:fill="D3DFEE"/>
          </w:tcPr>
          <w:p w14:paraId="29008D3C" w14:textId="77777777" w:rsidR="00D65BC4" w:rsidRPr="00EF46B8" w:rsidRDefault="002B3731" w:rsidP="00E214BA">
            <w:pPr>
              <w:pStyle w:val="BodyText"/>
              <w:jc w:val="center"/>
              <w:rPr>
                <w:b/>
              </w:rPr>
            </w:pPr>
            <w:r w:rsidRPr="00EF46B8">
              <w:rPr>
                <w:b/>
              </w:rPr>
              <w:t>C / D</w:t>
            </w:r>
          </w:p>
        </w:tc>
      </w:tr>
    </w:tbl>
    <w:p w14:paraId="563E01E7" w14:textId="77777777" w:rsidR="002B3731" w:rsidRDefault="00C8324A" w:rsidP="00E22B98">
      <w:pPr>
        <w:pStyle w:val="BodyText"/>
        <w:spacing w:line="276" w:lineRule="auto"/>
        <w:ind w:firstLine="720"/>
      </w:pPr>
      <w:r>
        <w:t>The second method is a</w:t>
      </w:r>
      <w:r w:rsidR="00983EC8">
        <w:t xml:space="preserve"> </w:t>
      </w:r>
      <w:r w:rsidR="00D65BC4">
        <w:t xml:space="preserve">per customer decoupling mechanism. </w:t>
      </w:r>
      <w:r w:rsidR="002B3731">
        <w:t>This method has two different calculations, one at the beginning of the planning period and one at the end of each year. The first is a calculation of authorized revenue per customer. This is simply calculated as follows:</w:t>
      </w:r>
    </w:p>
    <w:p w14:paraId="23DBE04C" w14:textId="77777777" w:rsidR="00C41C6F" w:rsidRPr="00EF46B8" w:rsidRDefault="007A1098" w:rsidP="00E22B98">
      <w:pPr>
        <w:pStyle w:val="BodyText"/>
        <w:spacing w:line="276" w:lineRule="auto"/>
        <w:jc w:val="center"/>
        <w:rPr>
          <w:i/>
        </w:rPr>
      </w:pPr>
      <w:proofErr w:type="spellStart"/>
      <w:r>
        <w:rPr>
          <w:i/>
        </w:rPr>
        <w:t>Authorized</w:t>
      </w:r>
      <w:r w:rsidR="002B3731" w:rsidRPr="00EF46B8">
        <w:rPr>
          <w:i/>
        </w:rPr>
        <w:t>Rev</w:t>
      </w:r>
      <w:r>
        <w:rPr>
          <w:i/>
        </w:rPr>
        <w:t>enue</w:t>
      </w:r>
      <w:r w:rsidR="002B3731" w:rsidRPr="00EF46B8">
        <w:rPr>
          <w:i/>
        </w:rPr>
        <w:t>PerCustomer</w:t>
      </w:r>
      <w:r w:rsidR="002B3731" w:rsidRPr="00EF46B8">
        <w:rPr>
          <w:i/>
          <w:vertAlign w:val="subscript"/>
        </w:rPr>
        <w:t>t</w:t>
      </w:r>
      <w:proofErr w:type="spellEnd"/>
      <w:r w:rsidR="002B3731" w:rsidRPr="00EF46B8">
        <w:rPr>
          <w:i/>
        </w:rPr>
        <w:t xml:space="preserve"> = </w:t>
      </w:r>
      <w:proofErr w:type="spellStart"/>
      <w:r w:rsidR="002B3731" w:rsidRPr="00EF46B8">
        <w:rPr>
          <w:i/>
        </w:rPr>
        <w:t>FixedCostRev</w:t>
      </w:r>
      <w:r>
        <w:rPr>
          <w:i/>
        </w:rPr>
        <w:t>enue</w:t>
      </w:r>
      <w:r w:rsidR="002B3731" w:rsidRPr="00EF46B8">
        <w:rPr>
          <w:i/>
        </w:rPr>
        <w:t>Req</w:t>
      </w:r>
      <w:r>
        <w:rPr>
          <w:i/>
        </w:rPr>
        <w:t>uirement</w:t>
      </w:r>
      <w:r w:rsidR="002B3731" w:rsidRPr="00EF46B8">
        <w:rPr>
          <w:i/>
          <w:vertAlign w:val="subscript"/>
        </w:rPr>
        <w:t>t</w:t>
      </w:r>
      <w:proofErr w:type="spellEnd"/>
      <w:r w:rsidR="002B3731" w:rsidRPr="00EF46B8">
        <w:rPr>
          <w:i/>
        </w:rPr>
        <w:t xml:space="preserve"> / </w:t>
      </w:r>
      <w:proofErr w:type="spellStart"/>
      <w:r w:rsidR="002B3731" w:rsidRPr="00EF46B8">
        <w:rPr>
          <w:i/>
        </w:rPr>
        <w:t>Customers</w:t>
      </w:r>
      <w:r w:rsidR="002B3731" w:rsidRPr="00EF46B8">
        <w:rPr>
          <w:i/>
          <w:vertAlign w:val="subscript"/>
        </w:rPr>
        <w:t>t</w:t>
      </w:r>
      <w:proofErr w:type="spellEnd"/>
    </w:p>
    <w:p w14:paraId="269B865C" w14:textId="201CC748" w:rsidR="00C41C6F" w:rsidRDefault="00C41C6F" w:rsidP="00E22B98">
      <w:pPr>
        <w:pStyle w:val="BodyText"/>
        <w:spacing w:line="276" w:lineRule="auto"/>
      </w:pPr>
      <w:r>
        <w:t xml:space="preserve">The second </w:t>
      </w:r>
      <w:r w:rsidR="00EF46B8">
        <w:t>calculation is</w:t>
      </w:r>
      <w:r>
        <w:t xml:space="preserve"> a true-up mechanism to ensure the actual revenue per customer meets the authorized revenue per customer. The calculation is as follows:</w:t>
      </w:r>
      <w:r w:rsidR="00A47BCA" w:rsidDel="00A47BCA">
        <w:t xml:space="preserve"> </w:t>
      </w: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3942"/>
        <w:gridCol w:w="2898"/>
      </w:tblGrid>
      <w:tr w:rsidR="009305BA" w14:paraId="746E06F9" w14:textId="77777777" w:rsidTr="00035A08">
        <w:tc>
          <w:tcPr>
            <w:tcW w:w="1170" w:type="dxa"/>
            <w:tcBorders>
              <w:top w:val="single" w:sz="8" w:space="0" w:color="7BA0CD"/>
              <w:left w:val="single" w:sz="8" w:space="0" w:color="7BA0CD"/>
              <w:bottom w:val="single" w:sz="8" w:space="0" w:color="7BA0CD"/>
            </w:tcBorders>
            <w:shd w:val="clear" w:color="auto" w:fill="4F81BD"/>
          </w:tcPr>
          <w:p w14:paraId="377E329E" w14:textId="77777777" w:rsidR="00C41C6F" w:rsidRPr="00035A08" w:rsidRDefault="00C41C6F" w:rsidP="00E22B98">
            <w:pPr>
              <w:pStyle w:val="BodyText"/>
              <w:spacing w:line="276" w:lineRule="auto"/>
              <w:rPr>
                <w:b/>
                <w:bCs/>
                <w:color w:val="FFFFFF"/>
              </w:rPr>
            </w:pPr>
          </w:p>
        </w:tc>
        <w:tc>
          <w:tcPr>
            <w:tcW w:w="3942" w:type="dxa"/>
            <w:tcBorders>
              <w:top w:val="single" w:sz="8" w:space="0" w:color="7BA0CD"/>
              <w:bottom w:val="single" w:sz="8" w:space="0" w:color="7BA0CD"/>
            </w:tcBorders>
            <w:shd w:val="clear" w:color="auto" w:fill="4F81BD"/>
          </w:tcPr>
          <w:p w14:paraId="7F689DE7" w14:textId="77777777" w:rsidR="00C41C6F" w:rsidRPr="00035A08" w:rsidRDefault="00C41C6F" w:rsidP="00E22B98">
            <w:pPr>
              <w:pStyle w:val="BodyText"/>
              <w:spacing w:line="276" w:lineRule="auto"/>
              <w:jc w:val="center"/>
              <w:rPr>
                <w:b/>
                <w:bCs/>
                <w:color w:val="FFFFFF"/>
              </w:rPr>
            </w:pPr>
            <w:r w:rsidRPr="00035A08">
              <w:rPr>
                <w:b/>
                <w:bCs/>
                <w:color w:val="FFFFFF"/>
              </w:rPr>
              <w:t>Name</w:t>
            </w:r>
          </w:p>
        </w:tc>
        <w:tc>
          <w:tcPr>
            <w:tcW w:w="2898" w:type="dxa"/>
            <w:tcBorders>
              <w:top w:val="single" w:sz="8" w:space="0" w:color="7BA0CD"/>
              <w:bottom w:val="single" w:sz="8" w:space="0" w:color="7BA0CD"/>
              <w:right w:val="single" w:sz="8" w:space="0" w:color="7BA0CD"/>
            </w:tcBorders>
            <w:shd w:val="clear" w:color="auto" w:fill="4F81BD"/>
          </w:tcPr>
          <w:p w14:paraId="6B7EA432" w14:textId="77777777" w:rsidR="00C41C6F" w:rsidRPr="00035A08" w:rsidRDefault="00C41C6F" w:rsidP="00E22B98">
            <w:pPr>
              <w:pStyle w:val="BodyText"/>
              <w:spacing w:line="276" w:lineRule="auto"/>
              <w:jc w:val="center"/>
              <w:rPr>
                <w:b/>
                <w:bCs/>
                <w:color w:val="FFFFFF"/>
              </w:rPr>
            </w:pPr>
            <w:r w:rsidRPr="00035A08">
              <w:rPr>
                <w:b/>
                <w:bCs/>
                <w:color w:val="FFFFFF"/>
              </w:rPr>
              <w:t>Calculation</w:t>
            </w:r>
          </w:p>
        </w:tc>
      </w:tr>
      <w:tr w:rsidR="009305BA" w14:paraId="4467F972" w14:textId="77777777" w:rsidTr="00035A08">
        <w:tc>
          <w:tcPr>
            <w:tcW w:w="1170" w:type="dxa"/>
            <w:shd w:val="clear" w:color="auto" w:fill="D3DFEE"/>
          </w:tcPr>
          <w:p w14:paraId="3C0E858E" w14:textId="77777777" w:rsidR="00C41C6F" w:rsidRPr="00035A08" w:rsidRDefault="00C41C6F" w:rsidP="00E22B98">
            <w:pPr>
              <w:pStyle w:val="BodyText"/>
              <w:spacing w:line="276" w:lineRule="auto"/>
              <w:jc w:val="center"/>
              <w:rPr>
                <w:b/>
                <w:bCs/>
              </w:rPr>
            </w:pPr>
            <w:r w:rsidRPr="00035A08">
              <w:rPr>
                <w:b/>
                <w:bCs/>
              </w:rPr>
              <w:t>A</w:t>
            </w:r>
          </w:p>
        </w:tc>
        <w:tc>
          <w:tcPr>
            <w:tcW w:w="3942" w:type="dxa"/>
            <w:shd w:val="clear" w:color="auto" w:fill="D3DFEE"/>
          </w:tcPr>
          <w:p w14:paraId="14265F3F" w14:textId="77777777" w:rsidR="00C41C6F" w:rsidRDefault="00C41C6F" w:rsidP="00E22B98">
            <w:pPr>
              <w:pStyle w:val="BodyText"/>
              <w:spacing w:line="276" w:lineRule="auto"/>
              <w:jc w:val="center"/>
            </w:pPr>
            <w:r>
              <w:t>Fixed Cost Rate</w:t>
            </w:r>
          </w:p>
        </w:tc>
        <w:tc>
          <w:tcPr>
            <w:tcW w:w="2898" w:type="dxa"/>
            <w:shd w:val="clear" w:color="auto" w:fill="D3DFEE"/>
          </w:tcPr>
          <w:p w14:paraId="1F20B261" w14:textId="77777777" w:rsidR="00C41C6F" w:rsidRDefault="00C41C6F" w:rsidP="00E22B98">
            <w:pPr>
              <w:pStyle w:val="BodyText"/>
              <w:spacing w:line="276" w:lineRule="auto"/>
              <w:jc w:val="center"/>
            </w:pPr>
            <w:r w:rsidRPr="00035A08">
              <w:rPr>
                <w:i/>
              </w:rPr>
              <w:t>Input</w:t>
            </w:r>
          </w:p>
        </w:tc>
      </w:tr>
      <w:tr w:rsidR="009305BA" w14:paraId="1A6D9D5A" w14:textId="77777777" w:rsidTr="00035A08">
        <w:tc>
          <w:tcPr>
            <w:tcW w:w="1170" w:type="dxa"/>
            <w:tcBorders>
              <w:right w:val="nil"/>
            </w:tcBorders>
            <w:shd w:val="clear" w:color="auto" w:fill="auto"/>
          </w:tcPr>
          <w:p w14:paraId="63D96BD2" w14:textId="77777777" w:rsidR="00C41C6F" w:rsidRPr="00035A08" w:rsidRDefault="00C41C6F" w:rsidP="00E22B98">
            <w:pPr>
              <w:pStyle w:val="BodyText"/>
              <w:spacing w:line="276" w:lineRule="auto"/>
              <w:jc w:val="center"/>
              <w:rPr>
                <w:b/>
                <w:bCs/>
              </w:rPr>
            </w:pPr>
            <w:r w:rsidRPr="00035A08">
              <w:rPr>
                <w:b/>
                <w:bCs/>
              </w:rPr>
              <w:t>B</w:t>
            </w:r>
          </w:p>
        </w:tc>
        <w:tc>
          <w:tcPr>
            <w:tcW w:w="3942" w:type="dxa"/>
            <w:tcBorders>
              <w:left w:val="nil"/>
              <w:right w:val="nil"/>
            </w:tcBorders>
            <w:shd w:val="clear" w:color="auto" w:fill="auto"/>
          </w:tcPr>
          <w:p w14:paraId="270A363A" w14:textId="78302DC8" w:rsidR="00C41C6F" w:rsidRDefault="00CE100B" w:rsidP="00E22B98">
            <w:pPr>
              <w:pStyle w:val="BodyText"/>
              <w:spacing w:line="276" w:lineRule="auto"/>
              <w:jc w:val="center"/>
            </w:pPr>
            <w:r>
              <w:t xml:space="preserve">kWh </w:t>
            </w:r>
            <w:r w:rsidR="00C41C6F">
              <w:t>Sales</w:t>
            </w:r>
          </w:p>
        </w:tc>
        <w:tc>
          <w:tcPr>
            <w:tcW w:w="2898" w:type="dxa"/>
            <w:tcBorders>
              <w:left w:val="nil"/>
            </w:tcBorders>
            <w:shd w:val="clear" w:color="auto" w:fill="auto"/>
          </w:tcPr>
          <w:p w14:paraId="4DCF07DE" w14:textId="77777777" w:rsidR="00C41C6F" w:rsidRDefault="00C41C6F" w:rsidP="00E22B98">
            <w:pPr>
              <w:pStyle w:val="BodyText"/>
              <w:spacing w:line="276" w:lineRule="auto"/>
              <w:jc w:val="center"/>
            </w:pPr>
            <w:r w:rsidRPr="00035A08">
              <w:rPr>
                <w:i/>
              </w:rPr>
              <w:t>Input</w:t>
            </w:r>
          </w:p>
        </w:tc>
      </w:tr>
      <w:tr w:rsidR="009305BA" w14:paraId="47678ED8" w14:textId="77777777" w:rsidTr="00035A08">
        <w:tc>
          <w:tcPr>
            <w:tcW w:w="1170" w:type="dxa"/>
            <w:shd w:val="clear" w:color="auto" w:fill="D3DFEE"/>
          </w:tcPr>
          <w:p w14:paraId="7A3A4708" w14:textId="77777777" w:rsidR="00C41C6F" w:rsidRPr="00035A08" w:rsidRDefault="00C41C6F" w:rsidP="00E22B98">
            <w:pPr>
              <w:pStyle w:val="BodyText"/>
              <w:spacing w:line="276" w:lineRule="auto"/>
              <w:jc w:val="center"/>
              <w:rPr>
                <w:b/>
                <w:bCs/>
              </w:rPr>
            </w:pPr>
            <w:r w:rsidRPr="00035A08">
              <w:rPr>
                <w:b/>
                <w:bCs/>
              </w:rPr>
              <w:t>C</w:t>
            </w:r>
          </w:p>
        </w:tc>
        <w:tc>
          <w:tcPr>
            <w:tcW w:w="3942" w:type="dxa"/>
            <w:shd w:val="clear" w:color="auto" w:fill="D3DFEE"/>
          </w:tcPr>
          <w:p w14:paraId="28C3E6BC" w14:textId="77777777" w:rsidR="00C41C6F" w:rsidRDefault="00C41C6F" w:rsidP="00E22B98">
            <w:pPr>
              <w:pStyle w:val="BodyText"/>
              <w:spacing w:line="276" w:lineRule="auto"/>
              <w:jc w:val="center"/>
            </w:pPr>
            <w:r>
              <w:t>Customers</w:t>
            </w:r>
          </w:p>
        </w:tc>
        <w:tc>
          <w:tcPr>
            <w:tcW w:w="2898" w:type="dxa"/>
            <w:shd w:val="clear" w:color="auto" w:fill="D3DFEE"/>
          </w:tcPr>
          <w:p w14:paraId="7E777244" w14:textId="77777777" w:rsidR="00C41C6F" w:rsidRDefault="00C41C6F" w:rsidP="00E22B98">
            <w:pPr>
              <w:pStyle w:val="BodyText"/>
              <w:spacing w:line="276" w:lineRule="auto"/>
              <w:jc w:val="center"/>
            </w:pPr>
            <w:r w:rsidRPr="00035A08">
              <w:rPr>
                <w:i/>
              </w:rPr>
              <w:t>Input</w:t>
            </w:r>
          </w:p>
        </w:tc>
      </w:tr>
      <w:tr w:rsidR="009305BA" w14:paraId="07B40BD9" w14:textId="77777777" w:rsidTr="00035A08">
        <w:tc>
          <w:tcPr>
            <w:tcW w:w="1170" w:type="dxa"/>
            <w:tcBorders>
              <w:right w:val="nil"/>
            </w:tcBorders>
            <w:shd w:val="clear" w:color="auto" w:fill="auto"/>
          </w:tcPr>
          <w:p w14:paraId="6ADFBCEC" w14:textId="77777777" w:rsidR="00C41C6F" w:rsidRPr="00035A08" w:rsidRDefault="00C41C6F" w:rsidP="00E22B98">
            <w:pPr>
              <w:pStyle w:val="BodyText"/>
              <w:spacing w:line="276" w:lineRule="auto"/>
              <w:jc w:val="center"/>
              <w:rPr>
                <w:b/>
                <w:bCs/>
              </w:rPr>
            </w:pPr>
            <w:r w:rsidRPr="00035A08">
              <w:rPr>
                <w:b/>
                <w:bCs/>
              </w:rPr>
              <w:t>D</w:t>
            </w:r>
          </w:p>
        </w:tc>
        <w:tc>
          <w:tcPr>
            <w:tcW w:w="3942" w:type="dxa"/>
            <w:tcBorders>
              <w:left w:val="nil"/>
              <w:right w:val="nil"/>
            </w:tcBorders>
            <w:shd w:val="clear" w:color="auto" w:fill="auto"/>
          </w:tcPr>
          <w:p w14:paraId="245F9C60" w14:textId="77777777" w:rsidR="00C41C6F" w:rsidRDefault="00C41C6F" w:rsidP="00E22B98">
            <w:pPr>
              <w:pStyle w:val="BodyText"/>
              <w:spacing w:line="276" w:lineRule="auto"/>
              <w:jc w:val="center"/>
            </w:pPr>
            <w:r>
              <w:t>Actual Revenue per Customer</w:t>
            </w:r>
          </w:p>
        </w:tc>
        <w:tc>
          <w:tcPr>
            <w:tcW w:w="2898" w:type="dxa"/>
            <w:tcBorders>
              <w:left w:val="nil"/>
            </w:tcBorders>
            <w:shd w:val="clear" w:color="auto" w:fill="auto"/>
          </w:tcPr>
          <w:p w14:paraId="02FEE56C" w14:textId="77777777" w:rsidR="00C41C6F" w:rsidRPr="00EF46B8" w:rsidRDefault="00C41C6F" w:rsidP="00E22B98">
            <w:pPr>
              <w:pStyle w:val="BodyText"/>
              <w:spacing w:line="276" w:lineRule="auto"/>
              <w:jc w:val="center"/>
              <w:rPr>
                <w:b/>
              </w:rPr>
            </w:pPr>
            <w:r w:rsidRPr="00EF46B8">
              <w:rPr>
                <w:b/>
              </w:rPr>
              <w:t>(A * B) / C</w:t>
            </w:r>
          </w:p>
        </w:tc>
      </w:tr>
      <w:tr w:rsidR="009305BA" w14:paraId="38B6D5C2" w14:textId="77777777" w:rsidTr="00035A08">
        <w:tc>
          <w:tcPr>
            <w:tcW w:w="1170" w:type="dxa"/>
            <w:shd w:val="clear" w:color="auto" w:fill="D3DFEE"/>
          </w:tcPr>
          <w:p w14:paraId="21372C5F" w14:textId="77777777" w:rsidR="00C41C6F" w:rsidRPr="00035A08" w:rsidRDefault="00C41C6F" w:rsidP="00E22B98">
            <w:pPr>
              <w:pStyle w:val="BodyText"/>
              <w:spacing w:line="276" w:lineRule="auto"/>
              <w:jc w:val="center"/>
              <w:rPr>
                <w:b/>
                <w:bCs/>
              </w:rPr>
            </w:pPr>
            <w:r w:rsidRPr="00035A08">
              <w:rPr>
                <w:b/>
                <w:bCs/>
              </w:rPr>
              <w:t>E</w:t>
            </w:r>
          </w:p>
        </w:tc>
        <w:tc>
          <w:tcPr>
            <w:tcW w:w="3942" w:type="dxa"/>
            <w:shd w:val="clear" w:color="auto" w:fill="D3DFEE"/>
          </w:tcPr>
          <w:p w14:paraId="5CAE0D3F" w14:textId="77777777" w:rsidR="00C41C6F" w:rsidRDefault="00C41C6F" w:rsidP="00E22B98">
            <w:pPr>
              <w:pStyle w:val="BodyText"/>
              <w:spacing w:line="276" w:lineRule="auto"/>
              <w:jc w:val="center"/>
            </w:pPr>
            <w:r>
              <w:t>Authorized Revenue per Customer</w:t>
            </w:r>
          </w:p>
        </w:tc>
        <w:tc>
          <w:tcPr>
            <w:tcW w:w="2898" w:type="dxa"/>
            <w:shd w:val="clear" w:color="auto" w:fill="D3DFEE"/>
          </w:tcPr>
          <w:p w14:paraId="1C3F0530" w14:textId="01666738" w:rsidR="00C41C6F" w:rsidRDefault="00091363" w:rsidP="00E22B98">
            <w:pPr>
              <w:pStyle w:val="BodyText"/>
              <w:spacing w:line="276" w:lineRule="auto"/>
              <w:jc w:val="center"/>
            </w:pPr>
            <w:r>
              <w:rPr>
                <w:i/>
              </w:rPr>
              <w:t>Calc. Above</w:t>
            </w:r>
          </w:p>
        </w:tc>
      </w:tr>
      <w:tr w:rsidR="009305BA" w14:paraId="13F58490" w14:textId="77777777" w:rsidTr="00035A08">
        <w:tc>
          <w:tcPr>
            <w:tcW w:w="1170" w:type="dxa"/>
            <w:tcBorders>
              <w:right w:val="nil"/>
            </w:tcBorders>
            <w:shd w:val="clear" w:color="auto" w:fill="auto"/>
          </w:tcPr>
          <w:p w14:paraId="59334CB7" w14:textId="77777777" w:rsidR="00C41C6F" w:rsidRPr="00035A08" w:rsidRDefault="00C41C6F" w:rsidP="00E22B98">
            <w:pPr>
              <w:pStyle w:val="BodyText"/>
              <w:spacing w:line="276" w:lineRule="auto"/>
              <w:jc w:val="center"/>
              <w:rPr>
                <w:b/>
                <w:bCs/>
              </w:rPr>
            </w:pPr>
            <w:r w:rsidRPr="00035A08">
              <w:rPr>
                <w:b/>
                <w:bCs/>
              </w:rPr>
              <w:t>F</w:t>
            </w:r>
          </w:p>
        </w:tc>
        <w:tc>
          <w:tcPr>
            <w:tcW w:w="3942" w:type="dxa"/>
            <w:tcBorders>
              <w:left w:val="nil"/>
              <w:right w:val="nil"/>
            </w:tcBorders>
            <w:shd w:val="clear" w:color="auto" w:fill="auto"/>
          </w:tcPr>
          <w:p w14:paraId="2012EF22" w14:textId="77777777" w:rsidR="00C41C6F" w:rsidRDefault="00C41C6F" w:rsidP="00E22B98">
            <w:pPr>
              <w:pStyle w:val="BodyText"/>
              <w:spacing w:line="276" w:lineRule="auto"/>
              <w:jc w:val="center"/>
            </w:pPr>
            <w:r>
              <w:t>Revenue per Customer Difference</w:t>
            </w:r>
          </w:p>
        </w:tc>
        <w:tc>
          <w:tcPr>
            <w:tcW w:w="2898" w:type="dxa"/>
            <w:tcBorders>
              <w:left w:val="nil"/>
            </w:tcBorders>
            <w:shd w:val="clear" w:color="auto" w:fill="auto"/>
          </w:tcPr>
          <w:p w14:paraId="116CBF59" w14:textId="77777777" w:rsidR="00C41C6F" w:rsidRPr="00EF46B8" w:rsidRDefault="00C41C6F" w:rsidP="00E22B98">
            <w:pPr>
              <w:pStyle w:val="BodyText"/>
              <w:spacing w:line="276" w:lineRule="auto"/>
              <w:jc w:val="center"/>
              <w:rPr>
                <w:b/>
              </w:rPr>
            </w:pPr>
            <w:r w:rsidRPr="00EF46B8">
              <w:rPr>
                <w:b/>
              </w:rPr>
              <w:t>E - D</w:t>
            </w:r>
          </w:p>
        </w:tc>
      </w:tr>
      <w:tr w:rsidR="009305BA" w14:paraId="49041CBE" w14:textId="77777777" w:rsidTr="00035A08">
        <w:tc>
          <w:tcPr>
            <w:tcW w:w="1170" w:type="dxa"/>
            <w:shd w:val="clear" w:color="auto" w:fill="D3DFEE"/>
          </w:tcPr>
          <w:p w14:paraId="4CEB49E0" w14:textId="77777777" w:rsidR="00C41C6F" w:rsidRPr="00035A08" w:rsidRDefault="00C41C6F" w:rsidP="00E22B98">
            <w:pPr>
              <w:pStyle w:val="BodyText"/>
              <w:spacing w:line="276" w:lineRule="auto"/>
              <w:jc w:val="center"/>
              <w:rPr>
                <w:b/>
                <w:bCs/>
              </w:rPr>
            </w:pPr>
            <w:r w:rsidRPr="00035A08">
              <w:rPr>
                <w:b/>
                <w:bCs/>
              </w:rPr>
              <w:t>G</w:t>
            </w:r>
          </w:p>
        </w:tc>
        <w:tc>
          <w:tcPr>
            <w:tcW w:w="3942" w:type="dxa"/>
            <w:shd w:val="clear" w:color="auto" w:fill="D3DFEE"/>
          </w:tcPr>
          <w:p w14:paraId="797DEDBD" w14:textId="77777777" w:rsidR="00C41C6F" w:rsidRDefault="00C41C6F" w:rsidP="00E22B98">
            <w:pPr>
              <w:pStyle w:val="BodyText"/>
              <w:spacing w:line="276" w:lineRule="auto"/>
              <w:jc w:val="center"/>
            </w:pPr>
            <w:r>
              <w:t>Lost Revenue Recovery Rate</w:t>
            </w:r>
          </w:p>
        </w:tc>
        <w:tc>
          <w:tcPr>
            <w:tcW w:w="2898" w:type="dxa"/>
            <w:shd w:val="clear" w:color="auto" w:fill="D3DFEE"/>
          </w:tcPr>
          <w:p w14:paraId="6F1663EB" w14:textId="77777777" w:rsidR="00C41C6F" w:rsidRPr="00EF46B8" w:rsidRDefault="00C41C6F" w:rsidP="00E22B98">
            <w:pPr>
              <w:pStyle w:val="BodyText"/>
              <w:spacing w:line="276" w:lineRule="auto"/>
              <w:jc w:val="center"/>
              <w:rPr>
                <w:b/>
              </w:rPr>
            </w:pPr>
            <w:r w:rsidRPr="00EF46B8">
              <w:rPr>
                <w:b/>
              </w:rPr>
              <w:t>(F * C) / B</w:t>
            </w:r>
          </w:p>
        </w:tc>
      </w:tr>
    </w:tbl>
    <w:p w14:paraId="3DCF6DEE" w14:textId="77777777" w:rsidR="002B3731" w:rsidRDefault="002B3731" w:rsidP="00E22B98">
      <w:pPr>
        <w:pStyle w:val="BodyText"/>
        <w:spacing w:line="276" w:lineRule="auto"/>
      </w:pPr>
    </w:p>
    <w:p w14:paraId="35C235E0" w14:textId="0CC9F5F9" w:rsidR="000B5588" w:rsidRDefault="00D65BC4" w:rsidP="00E22B98">
      <w:pPr>
        <w:pStyle w:val="BodyText"/>
        <w:spacing w:line="276" w:lineRule="auto"/>
        <w:ind w:firstLine="720"/>
      </w:pPr>
      <w:r>
        <w:t>The third method is a straight fixed</w:t>
      </w:r>
      <w:r w:rsidR="00A94677">
        <w:t xml:space="preserve"> and</w:t>
      </w:r>
      <w:r>
        <w:t xml:space="preserve"> variable rate mechanism. </w:t>
      </w:r>
      <w:r w:rsidR="00C44099">
        <w:t xml:space="preserve">This method calculates a fixed charge that is </w:t>
      </w:r>
      <w:r w:rsidR="00A94677">
        <w:t>applied</w:t>
      </w:r>
      <w:r w:rsidR="00C44099">
        <w:t xml:space="preserve"> to each customer regardless of usage</w:t>
      </w:r>
      <w:r w:rsidR="00A94677">
        <w:t xml:space="preserve"> and</w:t>
      </w:r>
      <w:r w:rsidR="00C44099">
        <w:t xml:space="preserve"> can cover any fraction of the total fixed costs for this class with the rest being recovered through a normal </w:t>
      </w:r>
      <w:r w:rsidR="00A94677">
        <w:t xml:space="preserve">kWh </w:t>
      </w:r>
      <w:r w:rsidR="00C44099">
        <w:t xml:space="preserve">rate. </w:t>
      </w:r>
      <w:r w:rsidR="00A94677">
        <w:t>I</w:t>
      </w:r>
      <w:r w:rsidR="00C44099">
        <w:t xml:space="preserve">f </w:t>
      </w:r>
      <w:r w:rsidR="00A94677">
        <w:t>not all</w:t>
      </w:r>
      <w:r w:rsidR="00C44099">
        <w:t xml:space="preserve"> of the fixed cost is recovered </w:t>
      </w:r>
      <w:r w:rsidR="00A94677">
        <w:t>this way</w:t>
      </w:r>
      <w:r w:rsidR="00C44099">
        <w:t xml:space="preserve"> then </w:t>
      </w:r>
      <w:r w:rsidR="00A94677">
        <w:t>it can be</w:t>
      </w:r>
      <w:r w:rsidR="00C44099">
        <w:t xml:space="preserve"> paired with </w:t>
      </w:r>
      <w:r w:rsidR="00A94677">
        <w:t>another method</w:t>
      </w:r>
      <w:r w:rsidR="00C44099">
        <w:t>. The calculation is as follows:</w:t>
      </w: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3942"/>
        <w:gridCol w:w="2898"/>
      </w:tblGrid>
      <w:tr w:rsidR="008522B1" w:rsidRPr="00035A08" w14:paraId="3F79957E" w14:textId="77777777" w:rsidTr="008522B1">
        <w:tc>
          <w:tcPr>
            <w:tcW w:w="1170" w:type="dxa"/>
            <w:tcBorders>
              <w:top w:val="single" w:sz="8" w:space="0" w:color="7BA0CD"/>
              <w:left w:val="single" w:sz="8" w:space="0" w:color="7BA0CD"/>
              <w:bottom w:val="single" w:sz="8" w:space="0" w:color="7BA0CD"/>
            </w:tcBorders>
            <w:shd w:val="clear" w:color="auto" w:fill="4F81BD"/>
          </w:tcPr>
          <w:p w14:paraId="53B5D967" w14:textId="77777777" w:rsidR="008522B1" w:rsidRPr="00035A08" w:rsidRDefault="008522B1" w:rsidP="008522B1">
            <w:pPr>
              <w:pStyle w:val="BodyText"/>
              <w:spacing w:line="276" w:lineRule="auto"/>
              <w:rPr>
                <w:b/>
                <w:bCs/>
                <w:color w:val="FFFFFF"/>
              </w:rPr>
            </w:pPr>
          </w:p>
        </w:tc>
        <w:tc>
          <w:tcPr>
            <w:tcW w:w="3942" w:type="dxa"/>
            <w:tcBorders>
              <w:top w:val="single" w:sz="8" w:space="0" w:color="7BA0CD"/>
              <w:bottom w:val="single" w:sz="8" w:space="0" w:color="7BA0CD"/>
            </w:tcBorders>
            <w:shd w:val="clear" w:color="auto" w:fill="4F81BD"/>
          </w:tcPr>
          <w:p w14:paraId="02621F16" w14:textId="77777777" w:rsidR="008522B1" w:rsidRPr="00035A08" w:rsidRDefault="008522B1" w:rsidP="008522B1">
            <w:pPr>
              <w:pStyle w:val="BodyText"/>
              <w:spacing w:line="276" w:lineRule="auto"/>
              <w:jc w:val="center"/>
              <w:rPr>
                <w:b/>
                <w:bCs/>
                <w:color w:val="FFFFFF"/>
              </w:rPr>
            </w:pPr>
            <w:r w:rsidRPr="00035A08">
              <w:rPr>
                <w:b/>
                <w:bCs/>
                <w:color w:val="FFFFFF"/>
              </w:rPr>
              <w:t>Name</w:t>
            </w:r>
          </w:p>
        </w:tc>
        <w:tc>
          <w:tcPr>
            <w:tcW w:w="2898" w:type="dxa"/>
            <w:tcBorders>
              <w:top w:val="single" w:sz="8" w:space="0" w:color="7BA0CD"/>
              <w:bottom w:val="single" w:sz="8" w:space="0" w:color="7BA0CD"/>
              <w:right w:val="single" w:sz="8" w:space="0" w:color="7BA0CD"/>
            </w:tcBorders>
            <w:shd w:val="clear" w:color="auto" w:fill="4F81BD"/>
          </w:tcPr>
          <w:p w14:paraId="094F3A3B" w14:textId="77777777" w:rsidR="008522B1" w:rsidRPr="00035A08" w:rsidRDefault="008522B1" w:rsidP="008522B1">
            <w:pPr>
              <w:pStyle w:val="BodyText"/>
              <w:spacing w:line="276" w:lineRule="auto"/>
              <w:jc w:val="center"/>
              <w:rPr>
                <w:b/>
                <w:bCs/>
                <w:color w:val="FFFFFF"/>
              </w:rPr>
            </w:pPr>
            <w:r w:rsidRPr="00035A08">
              <w:rPr>
                <w:b/>
                <w:bCs/>
                <w:color w:val="FFFFFF"/>
              </w:rPr>
              <w:t>Calculation</w:t>
            </w:r>
          </w:p>
        </w:tc>
      </w:tr>
      <w:tr w:rsidR="008522B1" w14:paraId="34EC1AE8" w14:textId="77777777" w:rsidTr="00091363">
        <w:tc>
          <w:tcPr>
            <w:tcW w:w="1170" w:type="dxa"/>
            <w:shd w:val="clear" w:color="auto" w:fill="D3DFEE"/>
            <w:vAlign w:val="center"/>
          </w:tcPr>
          <w:p w14:paraId="3668EC1D" w14:textId="77777777" w:rsidR="008522B1" w:rsidRPr="00035A08" w:rsidRDefault="008522B1" w:rsidP="00091363">
            <w:pPr>
              <w:pStyle w:val="BodyText"/>
              <w:spacing w:line="276" w:lineRule="auto"/>
              <w:jc w:val="center"/>
              <w:rPr>
                <w:b/>
                <w:bCs/>
              </w:rPr>
            </w:pPr>
            <w:r w:rsidRPr="00035A08">
              <w:rPr>
                <w:b/>
                <w:bCs/>
              </w:rPr>
              <w:t>A</w:t>
            </w:r>
          </w:p>
        </w:tc>
        <w:tc>
          <w:tcPr>
            <w:tcW w:w="3942" w:type="dxa"/>
            <w:shd w:val="clear" w:color="auto" w:fill="D3DFEE"/>
          </w:tcPr>
          <w:p w14:paraId="7236EDEC" w14:textId="77777777" w:rsidR="008522B1" w:rsidRDefault="008522B1" w:rsidP="008522B1">
            <w:pPr>
              <w:pStyle w:val="BodyText"/>
              <w:spacing w:line="276" w:lineRule="auto"/>
              <w:jc w:val="center"/>
            </w:pPr>
            <w:r>
              <w:t>Fixed Cost Rate</w:t>
            </w:r>
          </w:p>
        </w:tc>
        <w:tc>
          <w:tcPr>
            <w:tcW w:w="2898" w:type="dxa"/>
            <w:shd w:val="clear" w:color="auto" w:fill="D3DFEE"/>
          </w:tcPr>
          <w:p w14:paraId="40526B53" w14:textId="77777777" w:rsidR="008522B1" w:rsidRDefault="008522B1" w:rsidP="008522B1">
            <w:pPr>
              <w:pStyle w:val="BodyText"/>
              <w:spacing w:line="276" w:lineRule="auto"/>
              <w:jc w:val="center"/>
            </w:pPr>
            <w:r w:rsidRPr="00035A08">
              <w:rPr>
                <w:i/>
              </w:rPr>
              <w:t>Input</w:t>
            </w:r>
          </w:p>
        </w:tc>
      </w:tr>
      <w:tr w:rsidR="008522B1" w14:paraId="6A41CEB1" w14:textId="77777777" w:rsidTr="00091363">
        <w:tc>
          <w:tcPr>
            <w:tcW w:w="1170" w:type="dxa"/>
            <w:tcBorders>
              <w:right w:val="nil"/>
            </w:tcBorders>
            <w:shd w:val="clear" w:color="auto" w:fill="auto"/>
            <w:vAlign w:val="center"/>
          </w:tcPr>
          <w:p w14:paraId="60D10242" w14:textId="77777777" w:rsidR="008522B1" w:rsidRPr="00035A08" w:rsidRDefault="008522B1" w:rsidP="00091363">
            <w:pPr>
              <w:pStyle w:val="BodyText"/>
              <w:spacing w:line="276" w:lineRule="auto"/>
              <w:jc w:val="center"/>
              <w:rPr>
                <w:b/>
                <w:bCs/>
              </w:rPr>
            </w:pPr>
            <w:r w:rsidRPr="00035A08">
              <w:rPr>
                <w:b/>
                <w:bCs/>
              </w:rPr>
              <w:t>B</w:t>
            </w:r>
          </w:p>
        </w:tc>
        <w:tc>
          <w:tcPr>
            <w:tcW w:w="3942" w:type="dxa"/>
            <w:tcBorders>
              <w:left w:val="nil"/>
              <w:right w:val="nil"/>
            </w:tcBorders>
            <w:shd w:val="clear" w:color="auto" w:fill="auto"/>
          </w:tcPr>
          <w:p w14:paraId="4D507EDC" w14:textId="00238E94" w:rsidR="008522B1" w:rsidRDefault="00C44099" w:rsidP="008522B1">
            <w:pPr>
              <w:pStyle w:val="BodyText"/>
              <w:spacing w:line="276" w:lineRule="auto"/>
              <w:jc w:val="center"/>
            </w:pPr>
            <w:r>
              <w:t xml:space="preserve">Base case </w:t>
            </w:r>
            <w:r w:rsidR="008522B1">
              <w:t>kWh Sales</w:t>
            </w:r>
          </w:p>
        </w:tc>
        <w:tc>
          <w:tcPr>
            <w:tcW w:w="2898" w:type="dxa"/>
            <w:tcBorders>
              <w:left w:val="nil"/>
            </w:tcBorders>
            <w:shd w:val="clear" w:color="auto" w:fill="auto"/>
          </w:tcPr>
          <w:p w14:paraId="241F9271" w14:textId="77777777" w:rsidR="008522B1" w:rsidRDefault="008522B1" w:rsidP="008522B1">
            <w:pPr>
              <w:pStyle w:val="BodyText"/>
              <w:spacing w:line="276" w:lineRule="auto"/>
              <w:jc w:val="center"/>
            </w:pPr>
            <w:r w:rsidRPr="00035A08">
              <w:rPr>
                <w:i/>
              </w:rPr>
              <w:t>Input</w:t>
            </w:r>
          </w:p>
        </w:tc>
      </w:tr>
      <w:tr w:rsidR="008522B1" w14:paraId="173EFA0C" w14:textId="77777777" w:rsidTr="00091363">
        <w:tc>
          <w:tcPr>
            <w:tcW w:w="1170" w:type="dxa"/>
            <w:shd w:val="clear" w:color="auto" w:fill="D3DFEE"/>
            <w:vAlign w:val="center"/>
          </w:tcPr>
          <w:p w14:paraId="79A34DBD" w14:textId="77777777" w:rsidR="008522B1" w:rsidRPr="00035A08" w:rsidRDefault="008522B1" w:rsidP="00091363">
            <w:pPr>
              <w:pStyle w:val="BodyText"/>
              <w:spacing w:line="276" w:lineRule="auto"/>
              <w:jc w:val="center"/>
              <w:rPr>
                <w:b/>
                <w:bCs/>
              </w:rPr>
            </w:pPr>
            <w:r w:rsidRPr="00035A08">
              <w:rPr>
                <w:b/>
                <w:bCs/>
              </w:rPr>
              <w:t>C</w:t>
            </w:r>
          </w:p>
        </w:tc>
        <w:tc>
          <w:tcPr>
            <w:tcW w:w="3942" w:type="dxa"/>
            <w:shd w:val="clear" w:color="auto" w:fill="D3DFEE"/>
          </w:tcPr>
          <w:p w14:paraId="08EA4C04" w14:textId="7E5D1A37" w:rsidR="008522B1" w:rsidRDefault="008522B1" w:rsidP="008522B1">
            <w:pPr>
              <w:pStyle w:val="BodyText"/>
              <w:spacing w:line="276" w:lineRule="auto"/>
              <w:jc w:val="center"/>
            </w:pPr>
            <w:r>
              <w:t xml:space="preserve">% Fixed Cost </w:t>
            </w:r>
            <w:r w:rsidR="00091363">
              <w:t>Recovered as Charge</w:t>
            </w:r>
          </w:p>
        </w:tc>
        <w:tc>
          <w:tcPr>
            <w:tcW w:w="2898" w:type="dxa"/>
            <w:shd w:val="clear" w:color="auto" w:fill="D3DFEE"/>
          </w:tcPr>
          <w:p w14:paraId="1F72EEC7" w14:textId="77777777" w:rsidR="008522B1" w:rsidRDefault="008522B1" w:rsidP="008522B1">
            <w:pPr>
              <w:pStyle w:val="BodyText"/>
              <w:spacing w:line="276" w:lineRule="auto"/>
              <w:jc w:val="center"/>
            </w:pPr>
            <w:r w:rsidRPr="00035A08">
              <w:rPr>
                <w:i/>
              </w:rPr>
              <w:t>Input</w:t>
            </w:r>
          </w:p>
        </w:tc>
      </w:tr>
      <w:tr w:rsidR="00091363" w:rsidRPr="00EF46B8" w14:paraId="1DB8A832" w14:textId="77777777" w:rsidTr="0099775C">
        <w:tc>
          <w:tcPr>
            <w:tcW w:w="1170" w:type="dxa"/>
            <w:tcBorders>
              <w:right w:val="nil"/>
            </w:tcBorders>
            <w:shd w:val="clear" w:color="auto" w:fill="auto"/>
            <w:vAlign w:val="center"/>
          </w:tcPr>
          <w:p w14:paraId="6D6C64CE" w14:textId="5019415B" w:rsidR="00091363" w:rsidRDefault="00091363" w:rsidP="0099775C">
            <w:pPr>
              <w:pStyle w:val="BodyText"/>
              <w:spacing w:line="276" w:lineRule="auto"/>
              <w:jc w:val="center"/>
              <w:rPr>
                <w:b/>
                <w:bCs/>
              </w:rPr>
            </w:pPr>
            <w:r>
              <w:rPr>
                <w:b/>
                <w:bCs/>
              </w:rPr>
              <w:t>D</w:t>
            </w:r>
          </w:p>
        </w:tc>
        <w:tc>
          <w:tcPr>
            <w:tcW w:w="3942" w:type="dxa"/>
            <w:tcBorders>
              <w:left w:val="nil"/>
              <w:right w:val="nil"/>
            </w:tcBorders>
            <w:shd w:val="clear" w:color="auto" w:fill="auto"/>
          </w:tcPr>
          <w:p w14:paraId="72643582" w14:textId="2193C0B1" w:rsidR="00091363" w:rsidRDefault="00091363" w:rsidP="0099775C">
            <w:pPr>
              <w:pStyle w:val="BodyText"/>
              <w:spacing w:line="276" w:lineRule="auto"/>
              <w:jc w:val="center"/>
            </w:pPr>
            <w:r>
              <w:t>Customers</w:t>
            </w:r>
          </w:p>
        </w:tc>
        <w:tc>
          <w:tcPr>
            <w:tcW w:w="2898" w:type="dxa"/>
            <w:tcBorders>
              <w:left w:val="nil"/>
            </w:tcBorders>
            <w:shd w:val="clear" w:color="auto" w:fill="auto"/>
          </w:tcPr>
          <w:p w14:paraId="0965B40A" w14:textId="3C5400AC" w:rsidR="00091363" w:rsidRPr="00091363" w:rsidRDefault="00091363" w:rsidP="0099775C">
            <w:pPr>
              <w:pStyle w:val="BodyText"/>
              <w:spacing w:line="276" w:lineRule="auto"/>
              <w:jc w:val="center"/>
              <w:rPr>
                <w:i/>
              </w:rPr>
            </w:pPr>
            <w:r w:rsidRPr="00091363">
              <w:rPr>
                <w:i/>
              </w:rPr>
              <w:t>Input</w:t>
            </w:r>
          </w:p>
        </w:tc>
      </w:tr>
      <w:tr w:rsidR="00091363" w14:paraId="031D6A2D" w14:textId="77777777" w:rsidTr="00091363">
        <w:tc>
          <w:tcPr>
            <w:tcW w:w="1170" w:type="dxa"/>
            <w:shd w:val="clear" w:color="auto" w:fill="D3DFEE"/>
            <w:vAlign w:val="center"/>
          </w:tcPr>
          <w:p w14:paraId="62BC709F" w14:textId="6CE17D60" w:rsidR="00091363" w:rsidRPr="00035A08" w:rsidRDefault="00091363" w:rsidP="00091363">
            <w:pPr>
              <w:pStyle w:val="BodyText"/>
              <w:spacing w:line="276" w:lineRule="auto"/>
              <w:jc w:val="center"/>
              <w:rPr>
                <w:b/>
                <w:bCs/>
              </w:rPr>
            </w:pPr>
            <w:r>
              <w:rPr>
                <w:b/>
                <w:bCs/>
              </w:rPr>
              <w:t>E</w:t>
            </w:r>
          </w:p>
        </w:tc>
        <w:tc>
          <w:tcPr>
            <w:tcW w:w="3942" w:type="dxa"/>
            <w:shd w:val="clear" w:color="auto" w:fill="D3DFEE"/>
          </w:tcPr>
          <w:p w14:paraId="72397400" w14:textId="66B1AC4A" w:rsidR="00091363" w:rsidRDefault="00091363" w:rsidP="008522B1">
            <w:pPr>
              <w:pStyle w:val="BodyText"/>
              <w:spacing w:line="276" w:lineRule="auto"/>
              <w:jc w:val="center"/>
            </w:pPr>
            <w:r>
              <w:t>Cost Recovered in Charge</w:t>
            </w:r>
          </w:p>
        </w:tc>
        <w:tc>
          <w:tcPr>
            <w:tcW w:w="2898" w:type="dxa"/>
            <w:shd w:val="clear" w:color="auto" w:fill="D3DFEE"/>
          </w:tcPr>
          <w:p w14:paraId="212427F3" w14:textId="5FE16BE1" w:rsidR="00091363" w:rsidRPr="00091363" w:rsidRDefault="00091363" w:rsidP="008522B1">
            <w:pPr>
              <w:pStyle w:val="BodyText"/>
              <w:spacing w:line="276" w:lineRule="auto"/>
              <w:jc w:val="center"/>
              <w:rPr>
                <w:b/>
              </w:rPr>
            </w:pPr>
            <w:r>
              <w:rPr>
                <w:b/>
              </w:rPr>
              <w:t>(A * B) * C</w:t>
            </w:r>
          </w:p>
        </w:tc>
      </w:tr>
      <w:tr w:rsidR="008522B1" w:rsidRPr="00EF46B8" w14:paraId="2CB8C40B" w14:textId="77777777" w:rsidTr="00091363">
        <w:tc>
          <w:tcPr>
            <w:tcW w:w="1170" w:type="dxa"/>
            <w:tcBorders>
              <w:right w:val="nil"/>
            </w:tcBorders>
            <w:shd w:val="clear" w:color="auto" w:fill="auto"/>
            <w:vAlign w:val="center"/>
          </w:tcPr>
          <w:p w14:paraId="660B6936" w14:textId="7EC25728" w:rsidR="008522B1" w:rsidRPr="00035A08" w:rsidRDefault="00091363" w:rsidP="00091363">
            <w:pPr>
              <w:pStyle w:val="BodyText"/>
              <w:spacing w:line="276" w:lineRule="auto"/>
              <w:jc w:val="center"/>
              <w:rPr>
                <w:b/>
                <w:bCs/>
              </w:rPr>
            </w:pPr>
            <w:r>
              <w:rPr>
                <w:b/>
                <w:bCs/>
              </w:rPr>
              <w:t>F</w:t>
            </w:r>
          </w:p>
        </w:tc>
        <w:tc>
          <w:tcPr>
            <w:tcW w:w="3942" w:type="dxa"/>
            <w:tcBorders>
              <w:left w:val="nil"/>
              <w:right w:val="nil"/>
            </w:tcBorders>
            <w:shd w:val="clear" w:color="auto" w:fill="auto"/>
          </w:tcPr>
          <w:p w14:paraId="5ED02810" w14:textId="492B8154" w:rsidR="008522B1" w:rsidRDefault="00091363" w:rsidP="008522B1">
            <w:pPr>
              <w:pStyle w:val="BodyText"/>
              <w:spacing w:line="276" w:lineRule="auto"/>
              <w:jc w:val="center"/>
            </w:pPr>
            <w:r>
              <w:t>Cost Recovered in Rate</w:t>
            </w:r>
          </w:p>
        </w:tc>
        <w:tc>
          <w:tcPr>
            <w:tcW w:w="2898" w:type="dxa"/>
            <w:tcBorders>
              <w:left w:val="nil"/>
            </w:tcBorders>
            <w:shd w:val="clear" w:color="auto" w:fill="auto"/>
          </w:tcPr>
          <w:p w14:paraId="729DD9C8" w14:textId="350B67BA" w:rsidR="008522B1" w:rsidRPr="00EF46B8" w:rsidRDefault="00091363" w:rsidP="008522B1">
            <w:pPr>
              <w:pStyle w:val="BodyText"/>
              <w:spacing w:line="276" w:lineRule="auto"/>
              <w:jc w:val="center"/>
              <w:rPr>
                <w:b/>
              </w:rPr>
            </w:pPr>
            <w:r>
              <w:rPr>
                <w:b/>
              </w:rPr>
              <w:t>(A * B) *</w:t>
            </w:r>
            <w:r w:rsidR="008522B1" w:rsidRPr="00EF46B8">
              <w:rPr>
                <w:b/>
              </w:rPr>
              <w:t xml:space="preserve"> </w:t>
            </w:r>
            <w:r>
              <w:rPr>
                <w:b/>
              </w:rPr>
              <w:t xml:space="preserve">(1 – </w:t>
            </w:r>
            <w:r w:rsidR="008522B1" w:rsidRPr="00EF46B8">
              <w:rPr>
                <w:b/>
              </w:rPr>
              <w:t>C</w:t>
            </w:r>
            <w:r>
              <w:rPr>
                <w:b/>
              </w:rPr>
              <w:t>)</w:t>
            </w:r>
          </w:p>
        </w:tc>
      </w:tr>
      <w:tr w:rsidR="008522B1" w14:paraId="6339ADF8" w14:textId="77777777" w:rsidTr="00091363">
        <w:tc>
          <w:tcPr>
            <w:tcW w:w="1170" w:type="dxa"/>
            <w:shd w:val="clear" w:color="auto" w:fill="D3DFEE"/>
            <w:vAlign w:val="center"/>
          </w:tcPr>
          <w:p w14:paraId="4745B389" w14:textId="2C891390" w:rsidR="008522B1" w:rsidRPr="00035A08" w:rsidRDefault="00091363" w:rsidP="00091363">
            <w:pPr>
              <w:pStyle w:val="BodyText"/>
              <w:spacing w:line="276" w:lineRule="auto"/>
              <w:jc w:val="center"/>
              <w:rPr>
                <w:b/>
                <w:bCs/>
              </w:rPr>
            </w:pPr>
            <w:r>
              <w:rPr>
                <w:b/>
                <w:bCs/>
              </w:rPr>
              <w:t>G</w:t>
            </w:r>
          </w:p>
        </w:tc>
        <w:tc>
          <w:tcPr>
            <w:tcW w:w="3942" w:type="dxa"/>
            <w:shd w:val="clear" w:color="auto" w:fill="D3DFEE"/>
          </w:tcPr>
          <w:p w14:paraId="58056AEE" w14:textId="00A71A7C" w:rsidR="008522B1" w:rsidRDefault="00091363" w:rsidP="008522B1">
            <w:pPr>
              <w:pStyle w:val="BodyText"/>
              <w:spacing w:line="276" w:lineRule="auto"/>
              <w:jc w:val="center"/>
            </w:pPr>
            <w:r>
              <w:t>Straight Fixed Charge</w:t>
            </w:r>
          </w:p>
        </w:tc>
        <w:tc>
          <w:tcPr>
            <w:tcW w:w="2898" w:type="dxa"/>
            <w:shd w:val="clear" w:color="auto" w:fill="D3DFEE"/>
          </w:tcPr>
          <w:p w14:paraId="62E41655" w14:textId="3C02593F" w:rsidR="008522B1" w:rsidRPr="00091363" w:rsidRDefault="00091363" w:rsidP="008522B1">
            <w:pPr>
              <w:pStyle w:val="BodyText"/>
              <w:spacing w:line="276" w:lineRule="auto"/>
              <w:jc w:val="center"/>
              <w:rPr>
                <w:b/>
              </w:rPr>
            </w:pPr>
            <w:r w:rsidRPr="00091363">
              <w:rPr>
                <w:b/>
              </w:rPr>
              <w:t>E</w:t>
            </w:r>
            <w:r>
              <w:rPr>
                <w:b/>
              </w:rPr>
              <w:t xml:space="preserve"> </w:t>
            </w:r>
            <w:r w:rsidRPr="00091363">
              <w:rPr>
                <w:b/>
              </w:rPr>
              <w:t>/</w:t>
            </w:r>
            <w:r>
              <w:rPr>
                <w:b/>
              </w:rPr>
              <w:t xml:space="preserve"> </w:t>
            </w:r>
            <w:r w:rsidRPr="00091363">
              <w:rPr>
                <w:b/>
              </w:rPr>
              <w:t>D</w:t>
            </w:r>
          </w:p>
        </w:tc>
      </w:tr>
      <w:tr w:rsidR="008522B1" w:rsidRPr="00EF46B8" w14:paraId="39E84458" w14:textId="77777777" w:rsidTr="00091363">
        <w:tc>
          <w:tcPr>
            <w:tcW w:w="1170" w:type="dxa"/>
            <w:tcBorders>
              <w:right w:val="nil"/>
            </w:tcBorders>
            <w:shd w:val="clear" w:color="auto" w:fill="auto"/>
            <w:vAlign w:val="center"/>
          </w:tcPr>
          <w:p w14:paraId="36D3DCEF" w14:textId="684250DA" w:rsidR="008522B1" w:rsidRPr="00035A08" w:rsidRDefault="00091363" w:rsidP="00091363">
            <w:pPr>
              <w:pStyle w:val="BodyText"/>
              <w:spacing w:line="276" w:lineRule="auto"/>
              <w:jc w:val="center"/>
              <w:rPr>
                <w:b/>
                <w:bCs/>
              </w:rPr>
            </w:pPr>
            <w:r>
              <w:rPr>
                <w:b/>
                <w:bCs/>
              </w:rPr>
              <w:t>H</w:t>
            </w:r>
          </w:p>
        </w:tc>
        <w:tc>
          <w:tcPr>
            <w:tcW w:w="3942" w:type="dxa"/>
            <w:tcBorders>
              <w:left w:val="nil"/>
              <w:right w:val="nil"/>
            </w:tcBorders>
            <w:shd w:val="clear" w:color="auto" w:fill="auto"/>
          </w:tcPr>
          <w:p w14:paraId="78CF8E7E" w14:textId="3EAE8D6C" w:rsidR="008522B1" w:rsidRDefault="00C44099" w:rsidP="008522B1">
            <w:pPr>
              <w:pStyle w:val="BodyText"/>
              <w:spacing w:line="276" w:lineRule="auto"/>
              <w:jc w:val="center"/>
            </w:pPr>
            <w:r>
              <w:t>Adjusted</w:t>
            </w:r>
            <w:r w:rsidR="00091363">
              <w:t xml:space="preserve"> Fixed Cost Rate</w:t>
            </w:r>
          </w:p>
        </w:tc>
        <w:tc>
          <w:tcPr>
            <w:tcW w:w="2898" w:type="dxa"/>
            <w:tcBorders>
              <w:left w:val="nil"/>
            </w:tcBorders>
            <w:shd w:val="clear" w:color="auto" w:fill="auto"/>
          </w:tcPr>
          <w:p w14:paraId="4D9A7787" w14:textId="5324A40E" w:rsidR="008522B1" w:rsidRPr="00EF46B8" w:rsidRDefault="00091363" w:rsidP="008522B1">
            <w:pPr>
              <w:pStyle w:val="BodyText"/>
              <w:spacing w:line="276" w:lineRule="auto"/>
              <w:jc w:val="center"/>
              <w:rPr>
                <w:b/>
              </w:rPr>
            </w:pPr>
            <w:r>
              <w:rPr>
                <w:b/>
              </w:rPr>
              <w:t>F / B</w:t>
            </w:r>
          </w:p>
        </w:tc>
      </w:tr>
    </w:tbl>
    <w:p w14:paraId="291F9018" w14:textId="77777777" w:rsidR="00A35BE3" w:rsidRPr="00980699" w:rsidRDefault="00A35BE3" w:rsidP="00EF46B8">
      <w:pPr>
        <w:pStyle w:val="Heading4"/>
      </w:pPr>
      <w:r>
        <w:t>Levelized Cost of EE Sub-Module</w:t>
      </w:r>
    </w:p>
    <w:p w14:paraId="648DA2BF" w14:textId="77777777" w:rsidR="003C7495" w:rsidRDefault="001E56D8" w:rsidP="00EF46B8">
      <w:pPr>
        <w:spacing w:line="276" w:lineRule="auto"/>
        <w:ind w:firstLine="720"/>
      </w:pPr>
      <w:r>
        <w:t xml:space="preserve">The </w:t>
      </w:r>
      <w:r w:rsidR="00AB43ED">
        <w:t xml:space="preserve">Levelized Cost </w:t>
      </w:r>
      <w:r>
        <w:t xml:space="preserve">of </w:t>
      </w:r>
      <w:r w:rsidR="00AB43ED">
        <w:t>Energy E</w:t>
      </w:r>
      <w:r>
        <w:t xml:space="preserve">fficiency sub-module of the </w:t>
      </w:r>
      <w:r w:rsidR="00AB43ED">
        <w:t xml:space="preserve">Rate Impact </w:t>
      </w:r>
      <w:r>
        <w:t>module primarily contains discount rate adjustments of the following form:</w:t>
      </w:r>
    </w:p>
    <w:p w14:paraId="28A958EC" w14:textId="77777777" w:rsidR="003C7495" w:rsidRPr="00EF46B8" w:rsidRDefault="007A1098" w:rsidP="00EF46B8">
      <w:pPr>
        <w:spacing w:line="276" w:lineRule="auto"/>
        <w:jc w:val="center"/>
        <w:rPr>
          <w:i/>
        </w:rPr>
      </w:pPr>
      <w:proofErr w:type="spellStart"/>
      <w:r>
        <w:rPr>
          <w:i/>
        </w:rPr>
        <w:t>PV</w:t>
      </w:r>
      <w:r w:rsidR="00DD7AB7" w:rsidRPr="00EF46B8">
        <w:rPr>
          <w:i/>
          <w:vertAlign w:val="subscript"/>
        </w:rPr>
        <w:t>x</w:t>
      </w:r>
      <w:proofErr w:type="spellEnd"/>
      <w:r w:rsidR="00DD7AB7" w:rsidRPr="00EF46B8">
        <w:rPr>
          <w:i/>
        </w:rPr>
        <w:t xml:space="preserve"> = </w:t>
      </w:r>
      <w:proofErr w:type="spellStart"/>
      <w:r w:rsidR="00DD7AB7" w:rsidRPr="00EF46B8">
        <w:rPr>
          <w:i/>
        </w:rPr>
        <w:t>x</w:t>
      </w:r>
      <w:r w:rsidR="00DD7AB7" w:rsidRPr="00EF46B8">
        <w:rPr>
          <w:i/>
          <w:vertAlign w:val="subscript"/>
        </w:rPr>
        <w:t>t</w:t>
      </w:r>
      <w:proofErr w:type="spellEnd"/>
      <w:r w:rsidR="00DD7AB7" w:rsidRPr="00EF46B8">
        <w:rPr>
          <w:i/>
        </w:rPr>
        <w:t xml:space="preserve"> / (1 + </w:t>
      </w:r>
      <w:proofErr w:type="spellStart"/>
      <w:r w:rsidR="00DD7AB7" w:rsidRPr="00EF46B8">
        <w:rPr>
          <w:i/>
        </w:rPr>
        <w:t>DiscountRate</w:t>
      </w:r>
      <w:proofErr w:type="spellEnd"/>
      <w:proofErr w:type="gramStart"/>
      <w:r w:rsidR="00DD7AB7" w:rsidRPr="00EF46B8">
        <w:rPr>
          <w:i/>
        </w:rPr>
        <w:t>)</w:t>
      </w:r>
      <w:r w:rsidR="00DD7AB7" w:rsidRPr="00EF46B8">
        <w:rPr>
          <w:i/>
          <w:vertAlign w:val="superscript"/>
        </w:rPr>
        <w:t>t</w:t>
      </w:r>
      <w:proofErr w:type="gramEnd"/>
    </w:p>
    <w:p w14:paraId="03C51FEB" w14:textId="77777777" w:rsidR="003C7495" w:rsidRDefault="003C7495" w:rsidP="00EF46B8">
      <w:pPr>
        <w:spacing w:line="276" w:lineRule="auto"/>
      </w:pPr>
      <w:r>
        <w:t>Once all the values are converted to present value dollars, the levelized cost is calculated as follows:</w:t>
      </w:r>
    </w:p>
    <w:p w14:paraId="3C66271B" w14:textId="77777777" w:rsidR="001E56D8" w:rsidRDefault="001E56D8" w:rsidP="00EF46B8">
      <w:pPr>
        <w:spacing w:line="276" w:lineRule="auto"/>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3960"/>
        <w:gridCol w:w="2880"/>
      </w:tblGrid>
      <w:tr w:rsidR="009305BA" w14:paraId="374654A6" w14:textId="77777777" w:rsidTr="0070727F">
        <w:trPr>
          <w:jc w:val="center"/>
        </w:trPr>
        <w:tc>
          <w:tcPr>
            <w:tcW w:w="1170" w:type="dxa"/>
            <w:tcBorders>
              <w:top w:val="single" w:sz="8" w:space="0" w:color="7BA0CD"/>
              <w:left w:val="single" w:sz="8" w:space="0" w:color="7BA0CD"/>
              <w:bottom w:val="single" w:sz="8" w:space="0" w:color="7BA0CD"/>
              <w:right w:val="nil"/>
            </w:tcBorders>
            <w:shd w:val="clear" w:color="auto" w:fill="4F81BD"/>
          </w:tcPr>
          <w:p w14:paraId="35F6FB25" w14:textId="77777777" w:rsidR="003C7495" w:rsidRPr="00035A08" w:rsidRDefault="003C7495">
            <w:pPr>
              <w:spacing w:line="276" w:lineRule="auto"/>
              <w:jc w:val="center"/>
              <w:rPr>
                <w:b/>
                <w:bCs/>
                <w:color w:val="FFFFFF"/>
              </w:rPr>
            </w:pPr>
          </w:p>
        </w:tc>
        <w:tc>
          <w:tcPr>
            <w:tcW w:w="3960" w:type="dxa"/>
            <w:tcBorders>
              <w:top w:val="single" w:sz="8" w:space="0" w:color="7BA0CD"/>
              <w:left w:val="nil"/>
              <w:bottom w:val="single" w:sz="8" w:space="0" w:color="7BA0CD"/>
              <w:right w:val="nil"/>
            </w:tcBorders>
            <w:shd w:val="clear" w:color="auto" w:fill="4F81BD"/>
          </w:tcPr>
          <w:p w14:paraId="5F0D8717" w14:textId="77777777" w:rsidR="003C7495" w:rsidRPr="00035A08" w:rsidRDefault="003C7495">
            <w:pPr>
              <w:spacing w:line="276" w:lineRule="auto"/>
              <w:jc w:val="center"/>
              <w:rPr>
                <w:b/>
                <w:bCs/>
                <w:color w:val="FFFFFF"/>
              </w:rPr>
            </w:pPr>
            <w:r w:rsidRPr="00035A08">
              <w:rPr>
                <w:b/>
                <w:bCs/>
                <w:color w:val="FFFFFF"/>
              </w:rPr>
              <w:t>Name</w:t>
            </w:r>
          </w:p>
        </w:tc>
        <w:tc>
          <w:tcPr>
            <w:tcW w:w="2880" w:type="dxa"/>
            <w:tcBorders>
              <w:top w:val="single" w:sz="8" w:space="0" w:color="7BA0CD"/>
              <w:left w:val="nil"/>
              <w:bottom w:val="single" w:sz="8" w:space="0" w:color="7BA0CD"/>
              <w:right w:val="single" w:sz="8" w:space="0" w:color="7BA0CD"/>
            </w:tcBorders>
            <w:shd w:val="clear" w:color="auto" w:fill="4F81BD"/>
          </w:tcPr>
          <w:p w14:paraId="25047697" w14:textId="77777777" w:rsidR="003C7495" w:rsidRPr="00035A08" w:rsidRDefault="003C7495">
            <w:pPr>
              <w:spacing w:line="276" w:lineRule="auto"/>
              <w:jc w:val="center"/>
              <w:rPr>
                <w:b/>
                <w:bCs/>
                <w:color w:val="FFFFFF"/>
              </w:rPr>
            </w:pPr>
            <w:r w:rsidRPr="00035A08">
              <w:rPr>
                <w:b/>
                <w:bCs/>
                <w:color w:val="FFFFFF"/>
              </w:rPr>
              <w:t>Calculation</w:t>
            </w:r>
          </w:p>
        </w:tc>
      </w:tr>
      <w:tr w:rsidR="009305BA" w14:paraId="47C4E818" w14:textId="77777777" w:rsidTr="0070727F">
        <w:trPr>
          <w:jc w:val="center"/>
        </w:trPr>
        <w:tc>
          <w:tcPr>
            <w:tcW w:w="1170" w:type="dxa"/>
            <w:tcBorders>
              <w:right w:val="nil"/>
            </w:tcBorders>
            <w:shd w:val="clear" w:color="auto" w:fill="D3DFEE"/>
          </w:tcPr>
          <w:p w14:paraId="202A3D52" w14:textId="77777777" w:rsidR="003C7495" w:rsidRPr="00035A08" w:rsidRDefault="003C7495">
            <w:pPr>
              <w:spacing w:line="276" w:lineRule="auto"/>
              <w:jc w:val="center"/>
              <w:rPr>
                <w:b/>
                <w:bCs/>
              </w:rPr>
            </w:pPr>
            <w:r w:rsidRPr="00035A08">
              <w:rPr>
                <w:b/>
                <w:bCs/>
              </w:rPr>
              <w:t>A</w:t>
            </w:r>
          </w:p>
        </w:tc>
        <w:tc>
          <w:tcPr>
            <w:tcW w:w="3960" w:type="dxa"/>
            <w:tcBorders>
              <w:left w:val="nil"/>
              <w:right w:val="nil"/>
            </w:tcBorders>
            <w:shd w:val="clear" w:color="auto" w:fill="D3DFEE"/>
          </w:tcPr>
          <w:p w14:paraId="0F7F448A" w14:textId="77777777" w:rsidR="003C7495" w:rsidRDefault="003C7495">
            <w:pPr>
              <w:spacing w:line="276" w:lineRule="auto"/>
              <w:jc w:val="center"/>
            </w:pPr>
            <w:r>
              <w:t>Program Costs</w:t>
            </w:r>
          </w:p>
        </w:tc>
        <w:tc>
          <w:tcPr>
            <w:tcW w:w="2880" w:type="dxa"/>
            <w:tcBorders>
              <w:left w:val="nil"/>
            </w:tcBorders>
            <w:shd w:val="clear" w:color="auto" w:fill="D3DFEE"/>
          </w:tcPr>
          <w:p w14:paraId="20751C21" w14:textId="77777777" w:rsidR="003C7495" w:rsidRPr="00EF46B8" w:rsidRDefault="003C7495">
            <w:pPr>
              <w:spacing w:line="276" w:lineRule="auto"/>
              <w:jc w:val="center"/>
              <w:rPr>
                <w:i/>
              </w:rPr>
            </w:pPr>
            <w:r w:rsidRPr="00EF46B8">
              <w:rPr>
                <w:i/>
              </w:rPr>
              <w:t>Input</w:t>
            </w:r>
          </w:p>
        </w:tc>
      </w:tr>
      <w:tr w:rsidR="009305BA" w14:paraId="4C684349" w14:textId="77777777" w:rsidTr="0070727F">
        <w:trPr>
          <w:jc w:val="center"/>
        </w:trPr>
        <w:tc>
          <w:tcPr>
            <w:tcW w:w="1170" w:type="dxa"/>
            <w:tcBorders>
              <w:right w:val="nil"/>
            </w:tcBorders>
            <w:shd w:val="clear" w:color="auto" w:fill="auto"/>
          </w:tcPr>
          <w:p w14:paraId="6808ACD8" w14:textId="77777777" w:rsidR="003C7495" w:rsidRPr="00035A08" w:rsidRDefault="003C7495">
            <w:pPr>
              <w:spacing w:line="276" w:lineRule="auto"/>
              <w:jc w:val="center"/>
              <w:rPr>
                <w:b/>
                <w:bCs/>
              </w:rPr>
            </w:pPr>
            <w:r w:rsidRPr="00035A08">
              <w:rPr>
                <w:b/>
                <w:bCs/>
              </w:rPr>
              <w:t>B</w:t>
            </w:r>
          </w:p>
        </w:tc>
        <w:tc>
          <w:tcPr>
            <w:tcW w:w="3960" w:type="dxa"/>
            <w:tcBorders>
              <w:left w:val="nil"/>
              <w:right w:val="nil"/>
            </w:tcBorders>
            <w:shd w:val="clear" w:color="auto" w:fill="auto"/>
          </w:tcPr>
          <w:p w14:paraId="2FDBC94A" w14:textId="77777777" w:rsidR="003C7495" w:rsidRDefault="003C7495">
            <w:pPr>
              <w:spacing w:line="276" w:lineRule="auto"/>
              <w:jc w:val="center"/>
            </w:pPr>
            <w:r>
              <w:t>Energy Savings</w:t>
            </w:r>
          </w:p>
        </w:tc>
        <w:tc>
          <w:tcPr>
            <w:tcW w:w="2880" w:type="dxa"/>
            <w:tcBorders>
              <w:left w:val="nil"/>
            </w:tcBorders>
            <w:shd w:val="clear" w:color="auto" w:fill="auto"/>
          </w:tcPr>
          <w:p w14:paraId="1DC5E82A" w14:textId="77777777" w:rsidR="003C7495" w:rsidRDefault="003C7495">
            <w:pPr>
              <w:spacing w:line="276" w:lineRule="auto"/>
              <w:jc w:val="center"/>
            </w:pPr>
            <w:r w:rsidRPr="00035A08">
              <w:rPr>
                <w:i/>
              </w:rPr>
              <w:t>Input</w:t>
            </w:r>
          </w:p>
        </w:tc>
      </w:tr>
      <w:tr w:rsidR="009305BA" w14:paraId="7EBFAD89" w14:textId="77777777" w:rsidTr="0070727F">
        <w:trPr>
          <w:jc w:val="center"/>
        </w:trPr>
        <w:tc>
          <w:tcPr>
            <w:tcW w:w="1170" w:type="dxa"/>
            <w:tcBorders>
              <w:right w:val="nil"/>
            </w:tcBorders>
            <w:shd w:val="clear" w:color="auto" w:fill="D3DFEE"/>
          </w:tcPr>
          <w:p w14:paraId="6DA6AE2F" w14:textId="0B15C676" w:rsidR="00C64F3F" w:rsidRPr="00035A08" w:rsidRDefault="00201D92">
            <w:pPr>
              <w:spacing w:line="276" w:lineRule="auto"/>
              <w:jc w:val="center"/>
              <w:rPr>
                <w:b/>
                <w:bCs/>
              </w:rPr>
            </w:pPr>
            <w:r>
              <w:rPr>
                <w:b/>
                <w:bCs/>
              </w:rPr>
              <w:t>C</w:t>
            </w:r>
          </w:p>
        </w:tc>
        <w:tc>
          <w:tcPr>
            <w:tcW w:w="3960" w:type="dxa"/>
            <w:tcBorders>
              <w:left w:val="nil"/>
              <w:right w:val="nil"/>
            </w:tcBorders>
            <w:shd w:val="clear" w:color="auto" w:fill="D3DFEE"/>
          </w:tcPr>
          <w:p w14:paraId="2E752268" w14:textId="77777777" w:rsidR="00C64F3F" w:rsidRDefault="00C64F3F">
            <w:pPr>
              <w:spacing w:line="276" w:lineRule="auto"/>
              <w:jc w:val="center"/>
            </w:pPr>
            <w:r>
              <w:t>Levelized Cost of Energy Efficiency</w:t>
            </w:r>
          </w:p>
        </w:tc>
        <w:tc>
          <w:tcPr>
            <w:tcW w:w="2880" w:type="dxa"/>
            <w:tcBorders>
              <w:left w:val="nil"/>
            </w:tcBorders>
            <w:shd w:val="clear" w:color="auto" w:fill="D3DFEE"/>
          </w:tcPr>
          <w:p w14:paraId="5EB5C7D2" w14:textId="5D6B6446" w:rsidR="00C64F3F" w:rsidRPr="00EF46B8" w:rsidRDefault="00201D92">
            <w:pPr>
              <w:spacing w:line="276" w:lineRule="auto"/>
              <w:jc w:val="center"/>
              <w:rPr>
                <w:b/>
              </w:rPr>
            </w:pPr>
            <w:r>
              <w:rPr>
                <w:b/>
              </w:rPr>
              <w:t>A</w:t>
            </w:r>
            <w:r w:rsidRPr="00EF46B8">
              <w:rPr>
                <w:b/>
              </w:rPr>
              <w:t xml:space="preserve"> </w:t>
            </w:r>
            <w:r w:rsidR="00C64F3F" w:rsidRPr="00EF46B8">
              <w:rPr>
                <w:b/>
              </w:rPr>
              <w:t>/ B</w:t>
            </w:r>
          </w:p>
        </w:tc>
      </w:tr>
    </w:tbl>
    <w:p w14:paraId="1A715057" w14:textId="77777777" w:rsidR="001E56D8" w:rsidRDefault="001E56D8">
      <w:pPr>
        <w:spacing w:line="276" w:lineRule="auto"/>
      </w:pPr>
    </w:p>
    <w:p w14:paraId="0823DEEB" w14:textId="77777777" w:rsidR="001E56D8" w:rsidRPr="00EF46B8" w:rsidRDefault="00A35BE3" w:rsidP="00EF46B8">
      <w:pPr>
        <w:pStyle w:val="Heading4"/>
        <w:rPr>
          <w:rFonts w:ascii="Cambria" w:hAnsi="Cambria"/>
        </w:rPr>
      </w:pPr>
      <w:r w:rsidRPr="00EF46B8">
        <w:rPr>
          <w:rFonts w:ascii="Cambria" w:hAnsi="Cambria"/>
        </w:rPr>
        <w:t>Fuel Use Shift Sub-Module</w:t>
      </w:r>
    </w:p>
    <w:p w14:paraId="3F431A84" w14:textId="65622668" w:rsidR="00A35BE3" w:rsidRDefault="00AB43ED" w:rsidP="0070727F">
      <w:pPr>
        <w:spacing w:line="276" w:lineRule="auto"/>
        <w:ind w:firstLine="720"/>
        <w:rPr>
          <w:rFonts w:cs="Calibri"/>
        </w:rPr>
      </w:pPr>
      <w:r w:rsidRPr="00E22B98">
        <w:rPr>
          <w:rFonts w:cs="Calibri"/>
        </w:rPr>
        <w:t xml:space="preserve">The Fuel Use Shift sub-module of the Rate Impact module is a more complicated sub-module. As input, </w:t>
      </w:r>
      <w:r w:rsidR="009C1703" w:rsidRPr="00E22B98">
        <w:rPr>
          <w:rFonts w:cs="Calibri"/>
        </w:rPr>
        <w:t>it takes some information on the distribut</w:t>
      </w:r>
      <w:r w:rsidRPr="00E22B98">
        <w:rPr>
          <w:rFonts w:cs="Calibri"/>
        </w:rPr>
        <w:t xml:space="preserve">ion of the savings and the marginal </w:t>
      </w:r>
      <w:r w:rsidR="00FE715F">
        <w:rPr>
          <w:rFonts w:cs="Calibri"/>
        </w:rPr>
        <w:t xml:space="preserve">and average </w:t>
      </w:r>
      <w:r w:rsidRPr="00E22B98">
        <w:rPr>
          <w:rFonts w:cs="Calibri"/>
        </w:rPr>
        <w:t xml:space="preserve">cost </w:t>
      </w:r>
      <w:r w:rsidR="00FE715F">
        <w:rPr>
          <w:rFonts w:cs="Calibri"/>
        </w:rPr>
        <w:t>of</w:t>
      </w:r>
      <w:r w:rsidRPr="00E22B98">
        <w:rPr>
          <w:rFonts w:cs="Calibri"/>
        </w:rPr>
        <w:t xml:space="preserve"> energy production</w:t>
      </w:r>
      <w:r w:rsidR="00FE715F">
        <w:rPr>
          <w:rFonts w:cs="Calibri"/>
        </w:rPr>
        <w:t xml:space="preserve"> for the peak and off-peak periods</w:t>
      </w:r>
      <w:r w:rsidRPr="00E22B98">
        <w:rPr>
          <w:rFonts w:cs="Calibri"/>
        </w:rPr>
        <w:t xml:space="preserve">. </w:t>
      </w:r>
      <w:r w:rsidR="00FE715F">
        <w:rPr>
          <w:rFonts w:cs="Calibri"/>
        </w:rPr>
        <w:t xml:space="preserve">Using this information the sub-module calculates the average fuel cost </w:t>
      </w:r>
      <w:r w:rsidR="008529FB">
        <w:rPr>
          <w:rFonts w:cs="Calibri"/>
        </w:rPr>
        <w:t xml:space="preserve">for the on-peak and off-peak periods </w:t>
      </w:r>
      <w:r w:rsidR="00FE715F">
        <w:rPr>
          <w:rFonts w:cs="Calibri"/>
        </w:rPr>
        <w:t>using the following method:</w:t>
      </w:r>
    </w:p>
    <w:p w14:paraId="38837936" w14:textId="77777777" w:rsidR="00FE715F" w:rsidRDefault="00FE715F">
      <w:pPr>
        <w:spacing w:line="276" w:lineRule="auto"/>
        <w:rPr>
          <w:rFonts w:cs="Calibri"/>
        </w:rPr>
      </w:pPr>
    </w:p>
    <w:tbl>
      <w:tblPr>
        <w:tblStyle w:val="MediumGrid2-Accent1"/>
        <w:tblW w:w="0" w:type="auto"/>
        <w:jc w:val="center"/>
        <w:tblLook w:val="04A0" w:firstRow="1" w:lastRow="0" w:firstColumn="1" w:lastColumn="0" w:noHBand="0" w:noVBand="1"/>
      </w:tblPr>
      <w:tblGrid>
        <w:gridCol w:w="1188"/>
        <w:gridCol w:w="4050"/>
        <w:gridCol w:w="2790"/>
      </w:tblGrid>
      <w:tr w:rsidR="008529FB" w14:paraId="0629B0C2" w14:textId="77777777" w:rsidTr="007072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1F045C50" w14:textId="77777777" w:rsidR="008529FB" w:rsidRDefault="008529FB" w:rsidP="0070727F">
            <w:pPr>
              <w:spacing w:line="276" w:lineRule="auto"/>
              <w:jc w:val="center"/>
              <w:rPr>
                <w:rFonts w:cs="Calibri"/>
                <w:b w:val="0"/>
                <w:bCs w:val="0"/>
                <w:color w:val="auto"/>
              </w:rPr>
            </w:pPr>
          </w:p>
        </w:tc>
        <w:tc>
          <w:tcPr>
            <w:tcW w:w="4050" w:type="dxa"/>
          </w:tcPr>
          <w:p w14:paraId="055632CC" w14:textId="687FB8FA" w:rsidR="008529FB" w:rsidRDefault="008529FB" w:rsidP="0070727F">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Pr>
                <w:rFonts w:cs="Calibri"/>
              </w:rPr>
              <w:t>Name</w:t>
            </w:r>
          </w:p>
        </w:tc>
        <w:tc>
          <w:tcPr>
            <w:tcW w:w="2790" w:type="dxa"/>
          </w:tcPr>
          <w:p w14:paraId="56E76565" w14:textId="06E82DC2" w:rsidR="008529FB" w:rsidRDefault="008529FB" w:rsidP="0070727F">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Pr>
                <w:rFonts w:cs="Calibri"/>
              </w:rPr>
              <w:t>Calculation</w:t>
            </w:r>
          </w:p>
        </w:tc>
      </w:tr>
      <w:tr w:rsidR="008529FB" w14:paraId="3F30DF99" w14:textId="77777777" w:rsidTr="00707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086EA685" w14:textId="14302446" w:rsidR="008529FB" w:rsidRDefault="008529FB" w:rsidP="0070727F">
            <w:pPr>
              <w:spacing w:line="276" w:lineRule="auto"/>
              <w:jc w:val="center"/>
              <w:rPr>
                <w:rFonts w:cs="Calibri"/>
                <w:b w:val="0"/>
                <w:bCs w:val="0"/>
              </w:rPr>
            </w:pPr>
            <w:r>
              <w:rPr>
                <w:rFonts w:cs="Calibri"/>
              </w:rPr>
              <w:t>A</w:t>
            </w:r>
          </w:p>
        </w:tc>
        <w:tc>
          <w:tcPr>
            <w:tcW w:w="4050" w:type="dxa"/>
          </w:tcPr>
          <w:p w14:paraId="17F6FDF5" w14:textId="15EC5F22" w:rsidR="008529FB"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Period Sales</w:t>
            </w:r>
          </w:p>
        </w:tc>
        <w:tc>
          <w:tcPr>
            <w:tcW w:w="2790" w:type="dxa"/>
          </w:tcPr>
          <w:p w14:paraId="797957F9" w14:textId="280A5CB1" w:rsidR="008529FB" w:rsidRPr="0070727F"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i/>
              </w:rPr>
            </w:pPr>
            <w:r w:rsidRPr="0070727F">
              <w:rPr>
                <w:rFonts w:cs="Calibri"/>
                <w:i/>
              </w:rPr>
              <w:t>Input</w:t>
            </w:r>
          </w:p>
        </w:tc>
      </w:tr>
      <w:tr w:rsidR="008529FB" w14:paraId="6326E0AA" w14:textId="77777777" w:rsidTr="007072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50FEB909" w14:textId="3092B4C3" w:rsidR="008529FB" w:rsidRDefault="008529FB" w:rsidP="0070727F">
            <w:pPr>
              <w:spacing w:line="276" w:lineRule="auto"/>
              <w:jc w:val="center"/>
              <w:rPr>
                <w:rFonts w:cs="Calibri"/>
                <w:b w:val="0"/>
                <w:bCs w:val="0"/>
              </w:rPr>
            </w:pPr>
            <w:r>
              <w:rPr>
                <w:rFonts w:cs="Calibri"/>
              </w:rPr>
              <w:t>B</w:t>
            </w:r>
          </w:p>
        </w:tc>
        <w:tc>
          <w:tcPr>
            <w:tcW w:w="4050" w:type="dxa"/>
          </w:tcPr>
          <w:p w14:paraId="570D80E9" w14:textId="072D7B1A" w:rsidR="008529FB"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rPr>
            </w:pPr>
            <w:r>
              <w:rPr>
                <w:rFonts w:cs="Calibri"/>
              </w:rPr>
              <w:t>Period Average Fuel Cost (Base Case)</w:t>
            </w:r>
          </w:p>
        </w:tc>
        <w:tc>
          <w:tcPr>
            <w:tcW w:w="2790" w:type="dxa"/>
          </w:tcPr>
          <w:p w14:paraId="3C17410A" w14:textId="76D85B40" w:rsidR="008529FB" w:rsidRPr="0070727F"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i/>
              </w:rPr>
            </w:pPr>
            <w:r w:rsidRPr="0070727F">
              <w:rPr>
                <w:rFonts w:cs="Calibri"/>
                <w:i/>
              </w:rPr>
              <w:t>Input</w:t>
            </w:r>
          </w:p>
        </w:tc>
      </w:tr>
      <w:tr w:rsidR="008529FB" w14:paraId="1B19661C" w14:textId="77777777" w:rsidTr="00707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6585D743" w14:textId="6531990A" w:rsidR="008529FB" w:rsidRDefault="008529FB" w:rsidP="0070727F">
            <w:pPr>
              <w:spacing w:line="276" w:lineRule="auto"/>
              <w:jc w:val="center"/>
              <w:rPr>
                <w:rFonts w:cs="Calibri"/>
                <w:b w:val="0"/>
                <w:bCs w:val="0"/>
              </w:rPr>
            </w:pPr>
            <w:r>
              <w:rPr>
                <w:rFonts w:cs="Calibri"/>
              </w:rPr>
              <w:t>C</w:t>
            </w:r>
          </w:p>
        </w:tc>
        <w:tc>
          <w:tcPr>
            <w:tcW w:w="4050" w:type="dxa"/>
          </w:tcPr>
          <w:p w14:paraId="5AA008B2" w14:textId="3AC8F8F6" w:rsidR="008529FB"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Base Fuel Cost</w:t>
            </w:r>
          </w:p>
        </w:tc>
        <w:tc>
          <w:tcPr>
            <w:tcW w:w="2790" w:type="dxa"/>
          </w:tcPr>
          <w:p w14:paraId="487A68F5" w14:textId="4B03D786" w:rsidR="008529FB" w:rsidRPr="0070727F"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rPr>
            </w:pPr>
            <w:r w:rsidRPr="0070727F">
              <w:rPr>
                <w:rFonts w:cs="Calibri"/>
                <w:b/>
              </w:rPr>
              <w:t>A * B</w:t>
            </w:r>
          </w:p>
        </w:tc>
      </w:tr>
      <w:tr w:rsidR="008529FB" w14:paraId="4EF9A75A" w14:textId="77777777" w:rsidTr="007072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386EF140" w14:textId="6D700791" w:rsidR="008529FB" w:rsidRDefault="008529FB" w:rsidP="0070727F">
            <w:pPr>
              <w:spacing w:line="276" w:lineRule="auto"/>
              <w:jc w:val="center"/>
              <w:rPr>
                <w:rFonts w:cs="Calibri"/>
                <w:b w:val="0"/>
                <w:bCs w:val="0"/>
              </w:rPr>
            </w:pPr>
            <w:r>
              <w:rPr>
                <w:rFonts w:cs="Calibri"/>
              </w:rPr>
              <w:t>D</w:t>
            </w:r>
          </w:p>
        </w:tc>
        <w:tc>
          <w:tcPr>
            <w:tcW w:w="4050" w:type="dxa"/>
          </w:tcPr>
          <w:p w14:paraId="1329FD1E" w14:textId="60E697E3" w:rsidR="008529FB"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rPr>
            </w:pPr>
            <w:r>
              <w:rPr>
                <w:rFonts w:cs="Calibri"/>
              </w:rPr>
              <w:t>Period Savings</w:t>
            </w:r>
          </w:p>
        </w:tc>
        <w:tc>
          <w:tcPr>
            <w:tcW w:w="2790" w:type="dxa"/>
          </w:tcPr>
          <w:p w14:paraId="4CE02BB5" w14:textId="095DBC9B" w:rsidR="008529FB" w:rsidRPr="0070727F"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i/>
              </w:rPr>
            </w:pPr>
            <w:r w:rsidRPr="0070727F">
              <w:rPr>
                <w:rFonts w:cs="Calibri"/>
                <w:i/>
              </w:rPr>
              <w:t>Input</w:t>
            </w:r>
          </w:p>
        </w:tc>
      </w:tr>
      <w:tr w:rsidR="008529FB" w14:paraId="3F44C67C" w14:textId="77777777" w:rsidTr="00707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5A961769" w14:textId="6C193151" w:rsidR="008529FB" w:rsidRDefault="008529FB" w:rsidP="0070727F">
            <w:pPr>
              <w:spacing w:line="276" w:lineRule="auto"/>
              <w:jc w:val="center"/>
              <w:rPr>
                <w:rFonts w:cs="Calibri"/>
                <w:b w:val="0"/>
                <w:bCs w:val="0"/>
              </w:rPr>
            </w:pPr>
            <w:r>
              <w:rPr>
                <w:rFonts w:cs="Calibri"/>
              </w:rPr>
              <w:t>E</w:t>
            </w:r>
          </w:p>
        </w:tc>
        <w:tc>
          <w:tcPr>
            <w:tcW w:w="4050" w:type="dxa"/>
          </w:tcPr>
          <w:p w14:paraId="4B0D10AE" w14:textId="3FCEDD7C" w:rsidR="008529FB"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Period Average Marginal Fuel Cost</w:t>
            </w:r>
          </w:p>
        </w:tc>
        <w:tc>
          <w:tcPr>
            <w:tcW w:w="2790" w:type="dxa"/>
          </w:tcPr>
          <w:p w14:paraId="4F45AE83" w14:textId="7E13B3FC" w:rsidR="008529FB" w:rsidRPr="0070727F"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i/>
              </w:rPr>
            </w:pPr>
            <w:r w:rsidRPr="0070727F">
              <w:rPr>
                <w:rFonts w:cs="Calibri"/>
                <w:i/>
              </w:rPr>
              <w:t>Input</w:t>
            </w:r>
          </w:p>
        </w:tc>
      </w:tr>
      <w:tr w:rsidR="008529FB" w14:paraId="6618D230" w14:textId="77777777" w:rsidTr="007072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4C7F564B" w14:textId="54ECD7DC" w:rsidR="008529FB" w:rsidRDefault="008529FB" w:rsidP="0070727F">
            <w:pPr>
              <w:spacing w:line="276" w:lineRule="auto"/>
              <w:jc w:val="center"/>
              <w:rPr>
                <w:rFonts w:cs="Calibri"/>
                <w:b w:val="0"/>
                <w:bCs w:val="0"/>
              </w:rPr>
            </w:pPr>
            <w:r>
              <w:rPr>
                <w:rFonts w:cs="Calibri"/>
              </w:rPr>
              <w:t>F</w:t>
            </w:r>
          </w:p>
        </w:tc>
        <w:tc>
          <w:tcPr>
            <w:tcW w:w="4050" w:type="dxa"/>
          </w:tcPr>
          <w:p w14:paraId="4C1E4D84" w14:textId="1D2202F1" w:rsidR="008529FB"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rPr>
            </w:pPr>
            <w:r>
              <w:rPr>
                <w:rFonts w:cs="Calibri"/>
              </w:rPr>
              <w:t>Marginal Fuel Cost Savings</w:t>
            </w:r>
          </w:p>
        </w:tc>
        <w:tc>
          <w:tcPr>
            <w:tcW w:w="2790" w:type="dxa"/>
          </w:tcPr>
          <w:p w14:paraId="4190ABBA" w14:textId="7B22141E" w:rsidR="008529FB" w:rsidRPr="0070727F" w:rsidRDefault="008529FB" w:rsidP="0070727F">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b/>
              </w:rPr>
            </w:pPr>
            <w:r w:rsidRPr="0070727F">
              <w:rPr>
                <w:rFonts w:cs="Calibri"/>
                <w:b/>
              </w:rPr>
              <w:t>(E – B) * D</w:t>
            </w:r>
          </w:p>
        </w:tc>
      </w:tr>
      <w:tr w:rsidR="008529FB" w14:paraId="6D2967CB" w14:textId="77777777" w:rsidTr="00707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6144708C" w14:textId="656AB5D7" w:rsidR="008529FB" w:rsidRDefault="008529FB" w:rsidP="0070727F">
            <w:pPr>
              <w:spacing w:line="276" w:lineRule="auto"/>
              <w:jc w:val="center"/>
              <w:rPr>
                <w:rFonts w:cs="Calibri"/>
                <w:b w:val="0"/>
                <w:bCs w:val="0"/>
              </w:rPr>
            </w:pPr>
            <w:r>
              <w:rPr>
                <w:rFonts w:cs="Calibri"/>
              </w:rPr>
              <w:t>G</w:t>
            </w:r>
          </w:p>
        </w:tc>
        <w:tc>
          <w:tcPr>
            <w:tcW w:w="4050" w:type="dxa"/>
          </w:tcPr>
          <w:p w14:paraId="199EA765" w14:textId="25114D8B" w:rsidR="008529FB"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EE Case Fuel Cost</w:t>
            </w:r>
          </w:p>
        </w:tc>
        <w:tc>
          <w:tcPr>
            <w:tcW w:w="2790" w:type="dxa"/>
          </w:tcPr>
          <w:p w14:paraId="76887CD1" w14:textId="23D8A311" w:rsidR="008529FB" w:rsidRPr="0070727F" w:rsidRDefault="008529FB" w:rsidP="0070727F">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rPr>
            </w:pPr>
            <w:r w:rsidRPr="0070727F">
              <w:rPr>
                <w:rFonts w:cs="Calibri"/>
                <w:b/>
              </w:rPr>
              <w:t>C - F</w:t>
            </w:r>
          </w:p>
        </w:tc>
      </w:tr>
      <w:tr w:rsidR="008529FB" w14:paraId="60DBF0D8" w14:textId="77777777" w:rsidTr="007072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tcPr>
          <w:p w14:paraId="3B7891E0" w14:textId="70B36708" w:rsidR="008529FB" w:rsidRDefault="008529FB" w:rsidP="008529FB">
            <w:pPr>
              <w:spacing w:line="276" w:lineRule="auto"/>
              <w:jc w:val="center"/>
              <w:rPr>
                <w:rFonts w:cs="Calibri"/>
              </w:rPr>
            </w:pPr>
            <w:r>
              <w:rPr>
                <w:rFonts w:cs="Calibri"/>
              </w:rPr>
              <w:t>H</w:t>
            </w:r>
          </w:p>
        </w:tc>
        <w:tc>
          <w:tcPr>
            <w:tcW w:w="4050" w:type="dxa"/>
          </w:tcPr>
          <w:p w14:paraId="1B8121F5" w14:textId="51F7BDD6" w:rsidR="008529FB" w:rsidRDefault="008529FB" w:rsidP="008529FB">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rPr>
            </w:pPr>
            <w:r>
              <w:rPr>
                <w:rFonts w:cs="Calibri"/>
              </w:rPr>
              <w:t>Period Average Fuel Cost</w:t>
            </w:r>
          </w:p>
        </w:tc>
        <w:tc>
          <w:tcPr>
            <w:tcW w:w="2790" w:type="dxa"/>
          </w:tcPr>
          <w:p w14:paraId="440076D7" w14:textId="2D849292" w:rsidR="008529FB" w:rsidRPr="008529FB" w:rsidRDefault="008529FB" w:rsidP="008529FB">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b/>
              </w:rPr>
            </w:pPr>
            <w:r>
              <w:rPr>
                <w:rFonts w:cs="Calibri"/>
                <w:b/>
              </w:rPr>
              <w:t>G / A</w:t>
            </w:r>
          </w:p>
        </w:tc>
      </w:tr>
    </w:tbl>
    <w:p w14:paraId="26CDE243" w14:textId="77777777" w:rsidR="00FE715F" w:rsidRDefault="00FE715F">
      <w:pPr>
        <w:spacing w:line="276" w:lineRule="auto"/>
        <w:rPr>
          <w:rFonts w:cs="Calibri"/>
        </w:rPr>
      </w:pPr>
    </w:p>
    <w:p w14:paraId="604283B3" w14:textId="01685633" w:rsidR="008529FB" w:rsidRPr="00E22B98" w:rsidRDefault="00950E9F">
      <w:pPr>
        <w:spacing w:line="276" w:lineRule="auto"/>
        <w:rPr>
          <w:rFonts w:cs="Calibri"/>
        </w:rPr>
      </w:pPr>
      <w:r>
        <w:rPr>
          <w:rFonts w:cs="Calibri"/>
        </w:rPr>
        <w:t xml:space="preserve">The percent different between the average fuel cost calculated above and the average fuel cost in the base case is then applied to the growth rate of the fuel cost portion of the rate for all customer classes. </w:t>
      </w:r>
    </w:p>
    <w:p w14:paraId="71C66B80" w14:textId="77777777" w:rsidR="00FE715F" w:rsidRPr="00EF46B8" w:rsidRDefault="00FE715F" w:rsidP="00EF46B8">
      <w:pPr>
        <w:rPr>
          <w:rFonts w:cs="Calibri"/>
          <w:color w:val="243F60"/>
        </w:rPr>
      </w:pPr>
    </w:p>
    <w:p w14:paraId="683216E9" w14:textId="77777777" w:rsidR="001E56D8" w:rsidRPr="00EF46B8" w:rsidRDefault="00A35BE3" w:rsidP="00EF46B8">
      <w:pPr>
        <w:pStyle w:val="Heading4"/>
        <w:rPr>
          <w:rFonts w:ascii="Cambria" w:hAnsi="Cambria"/>
        </w:rPr>
      </w:pPr>
      <w:r w:rsidRPr="00EF46B8" w:rsidDel="00A35BE3">
        <w:rPr>
          <w:rFonts w:ascii="Cambria" w:hAnsi="Cambria"/>
        </w:rPr>
        <w:t xml:space="preserve"> </w:t>
      </w:r>
      <w:r w:rsidR="001E56D8" w:rsidRPr="00EF46B8">
        <w:rPr>
          <w:rFonts w:ascii="Cambria" w:hAnsi="Cambria"/>
        </w:rPr>
        <w:t>EE Measure Targeting Sub-Module</w:t>
      </w:r>
    </w:p>
    <w:p w14:paraId="5E4FD6A9" w14:textId="7B88CAD8" w:rsidR="001E56D8" w:rsidRPr="00FD7000" w:rsidRDefault="00A35BE3" w:rsidP="00FD7000">
      <w:pPr>
        <w:spacing w:line="276" w:lineRule="auto"/>
        <w:ind w:firstLine="720"/>
      </w:pPr>
      <w:r w:rsidRPr="00EF46B8">
        <w:t>The Energy Efficiency Measure Targeting sub-module of the Rate Impact module simply adds the targeting program costs to the energy efficiency program costs and adjusts the savings, both energy and demand, by the percent input (see 2.1.1.6).</w:t>
      </w:r>
    </w:p>
    <w:p w14:paraId="37EAFC51" w14:textId="77777777" w:rsidR="001E56D8" w:rsidRDefault="001E56D8">
      <w:pPr>
        <w:pStyle w:val="Heading3"/>
        <w:pageBreakBefore/>
        <w:spacing w:line="276" w:lineRule="auto"/>
      </w:pPr>
      <w:bookmarkStart w:id="52" w:name="_Toc376263708"/>
      <w:bookmarkStart w:id="53" w:name="_Toc376263772"/>
      <w:bookmarkStart w:id="54" w:name="_Toc278464915"/>
      <w:r>
        <w:t>Bill Impact Module</w:t>
      </w:r>
      <w:bookmarkEnd w:id="52"/>
      <w:bookmarkEnd w:id="53"/>
      <w:bookmarkEnd w:id="54"/>
    </w:p>
    <w:p w14:paraId="4CDE90FB" w14:textId="7BF2AF3D" w:rsidR="001E56D8" w:rsidRDefault="005A0E17" w:rsidP="00292049">
      <w:pPr>
        <w:spacing w:line="276" w:lineRule="auto"/>
        <w:ind w:firstLine="720"/>
      </w:pPr>
      <w:r>
        <w:t xml:space="preserve">The calculations for the Bill Impact Module of the Customer Sector focus on determining the average monthly bill paid by consumers in the customer class with different methods to calculate bills for program participants and non-participants. </w:t>
      </w:r>
      <w:r w:rsidR="00292049">
        <w:t xml:space="preserve">It also contains calculations to account for possible differences in usage between </w:t>
      </w:r>
      <w:r w:rsidR="00AC735E">
        <w:t>participants and non-participants before introduction of the energy efficiency programs</w:t>
      </w:r>
      <w:r w:rsidR="00292049">
        <w:t>.</w:t>
      </w:r>
    </w:p>
    <w:p w14:paraId="116CDA0F" w14:textId="77777777" w:rsidR="001E56D8" w:rsidRDefault="001E56D8">
      <w:pPr>
        <w:pStyle w:val="Heading4"/>
        <w:spacing w:line="276" w:lineRule="auto"/>
      </w:pPr>
      <w:r>
        <w:t>Fundamental Sub-Module</w:t>
      </w:r>
    </w:p>
    <w:p w14:paraId="58834ED0" w14:textId="77777777" w:rsidR="00970C2A" w:rsidRDefault="001E56D8" w:rsidP="00EF46B8">
      <w:pPr>
        <w:spacing w:line="276" w:lineRule="auto"/>
        <w:ind w:firstLine="720"/>
      </w:pPr>
      <w:r>
        <w:t xml:space="preserve">The </w:t>
      </w:r>
      <w:r w:rsidR="008A2A21">
        <w:t xml:space="preserve">Fundamental </w:t>
      </w:r>
      <w:r>
        <w:t xml:space="preserve">sub-module of the </w:t>
      </w:r>
      <w:r w:rsidR="008A2A21">
        <w:t xml:space="preserve">Bill Impact </w:t>
      </w:r>
      <w:r>
        <w:t xml:space="preserve">module contains an annual projection forecast of the number of customers. </w:t>
      </w:r>
      <w:r w:rsidR="00970C2A">
        <w:t>This projection is done</w:t>
      </w:r>
      <w:r w:rsidR="00AE5F4D">
        <w:t xml:space="preserve"> using the standard projection:</w:t>
      </w:r>
    </w:p>
    <w:p w14:paraId="40736238" w14:textId="77777777" w:rsidR="00970C2A" w:rsidRPr="00EF46B8" w:rsidRDefault="009C1703" w:rsidP="00EF46B8">
      <w:pPr>
        <w:spacing w:line="276" w:lineRule="auto"/>
        <w:jc w:val="center"/>
        <w:rPr>
          <w:i/>
        </w:rPr>
      </w:pPr>
      <w:proofErr w:type="spellStart"/>
      <w:r>
        <w:rPr>
          <w:i/>
        </w:rPr>
        <w:t>Customers</w:t>
      </w:r>
      <w:r w:rsidR="00970C2A" w:rsidRPr="00EF46B8">
        <w:rPr>
          <w:i/>
          <w:vertAlign w:val="subscript"/>
        </w:rPr>
        <w:t>t</w:t>
      </w:r>
      <w:proofErr w:type="spellEnd"/>
      <w:r w:rsidR="00970C2A" w:rsidRPr="00EF46B8">
        <w:rPr>
          <w:i/>
        </w:rPr>
        <w:t xml:space="preserve"> = </w:t>
      </w:r>
      <w:r>
        <w:rPr>
          <w:i/>
        </w:rPr>
        <w:t>Customers</w:t>
      </w:r>
      <w:r w:rsidR="00970C2A" w:rsidRPr="00EF46B8">
        <w:rPr>
          <w:i/>
          <w:vertAlign w:val="subscript"/>
        </w:rPr>
        <w:t>t-1</w:t>
      </w:r>
      <w:r w:rsidR="00970C2A" w:rsidRPr="00EF46B8">
        <w:rPr>
          <w:i/>
        </w:rPr>
        <w:t xml:space="preserve"> * (1 + %</w:t>
      </w:r>
      <w:proofErr w:type="spellStart"/>
      <w:r w:rsidR="00970C2A" w:rsidRPr="00EF46B8">
        <w:rPr>
          <w:i/>
        </w:rPr>
        <w:t>AvgChange</w:t>
      </w:r>
      <w:r>
        <w:rPr>
          <w:i/>
        </w:rPr>
        <w:t>Customers</w:t>
      </w:r>
      <w:proofErr w:type="spellEnd"/>
      <w:r w:rsidR="00970C2A" w:rsidRPr="00EF46B8">
        <w:rPr>
          <w:i/>
        </w:rPr>
        <w:t>)</w:t>
      </w:r>
    </w:p>
    <w:p w14:paraId="258BE453" w14:textId="77777777" w:rsidR="00970C2A" w:rsidRDefault="009C1703" w:rsidP="00EF46B8">
      <w:pPr>
        <w:spacing w:line="276" w:lineRule="auto"/>
      </w:pPr>
      <w:r>
        <w:t xml:space="preserve">This </w:t>
      </w:r>
      <w:r w:rsidR="00970C2A">
        <w:t xml:space="preserve">information is </w:t>
      </w:r>
      <w:r>
        <w:t xml:space="preserve">then </w:t>
      </w:r>
      <w:r w:rsidR="00970C2A">
        <w:t>used</w:t>
      </w:r>
      <w:r>
        <w:t>, with some inputs</w:t>
      </w:r>
      <w:r w:rsidR="00970C2A">
        <w:t xml:space="preserve"> from the Rate Impact module</w:t>
      </w:r>
      <w:r>
        <w:t>,</w:t>
      </w:r>
      <w:r w:rsidR="00970C2A">
        <w:t xml:space="preserve"> to calculate </w:t>
      </w:r>
      <w:r w:rsidR="0047614A">
        <w:t xml:space="preserve">average use and average bill </w:t>
      </w:r>
      <w:r w:rsidR="00970C2A">
        <w:t>as follows:</w:t>
      </w:r>
    </w:p>
    <w:p w14:paraId="02C2FFCD" w14:textId="77777777" w:rsidR="00970C2A" w:rsidRDefault="00970C2A" w:rsidP="00EF46B8">
      <w:pPr>
        <w:spacing w:line="276" w:lineRule="auto"/>
      </w:pP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52"/>
        <w:gridCol w:w="3978"/>
        <w:gridCol w:w="2970"/>
      </w:tblGrid>
      <w:tr w:rsidR="009305BA" w14:paraId="05B06BA9" w14:textId="77777777" w:rsidTr="00805D60">
        <w:tc>
          <w:tcPr>
            <w:tcW w:w="1152" w:type="dxa"/>
            <w:tcBorders>
              <w:top w:val="single" w:sz="8" w:space="0" w:color="7BA0CD"/>
              <w:left w:val="single" w:sz="8" w:space="0" w:color="7BA0CD"/>
              <w:bottom w:val="single" w:sz="8" w:space="0" w:color="7BA0CD"/>
              <w:right w:val="nil"/>
            </w:tcBorders>
            <w:shd w:val="clear" w:color="auto" w:fill="4F81BD"/>
          </w:tcPr>
          <w:p w14:paraId="0DDBFF11" w14:textId="77777777" w:rsidR="00970C2A" w:rsidRPr="00035A08" w:rsidRDefault="00970C2A" w:rsidP="00035A08">
            <w:pPr>
              <w:spacing w:line="276" w:lineRule="auto"/>
              <w:jc w:val="center"/>
              <w:rPr>
                <w:b/>
                <w:bCs/>
                <w:color w:val="FFFFFF"/>
              </w:rPr>
            </w:pPr>
          </w:p>
        </w:tc>
        <w:tc>
          <w:tcPr>
            <w:tcW w:w="3978" w:type="dxa"/>
            <w:tcBorders>
              <w:top w:val="single" w:sz="8" w:space="0" w:color="7BA0CD"/>
              <w:left w:val="nil"/>
              <w:bottom w:val="single" w:sz="8" w:space="0" w:color="7BA0CD"/>
              <w:right w:val="nil"/>
            </w:tcBorders>
            <w:shd w:val="clear" w:color="auto" w:fill="4F81BD"/>
          </w:tcPr>
          <w:p w14:paraId="4BD4ED5E" w14:textId="77777777" w:rsidR="00970C2A" w:rsidRPr="00035A08" w:rsidRDefault="00970C2A" w:rsidP="00035A08">
            <w:pPr>
              <w:spacing w:line="276" w:lineRule="auto"/>
              <w:jc w:val="center"/>
              <w:rPr>
                <w:b/>
                <w:bCs/>
                <w:color w:val="FFFFFF"/>
              </w:rPr>
            </w:pPr>
            <w:r w:rsidRPr="00035A08">
              <w:rPr>
                <w:b/>
                <w:bCs/>
                <w:color w:val="FFFFFF"/>
              </w:rPr>
              <w:t>Name</w:t>
            </w:r>
          </w:p>
        </w:tc>
        <w:tc>
          <w:tcPr>
            <w:tcW w:w="2970" w:type="dxa"/>
            <w:tcBorders>
              <w:top w:val="single" w:sz="8" w:space="0" w:color="7BA0CD"/>
              <w:left w:val="nil"/>
              <w:bottom w:val="single" w:sz="8" w:space="0" w:color="7BA0CD"/>
              <w:right w:val="single" w:sz="8" w:space="0" w:color="7BA0CD"/>
            </w:tcBorders>
            <w:shd w:val="clear" w:color="auto" w:fill="4F81BD"/>
          </w:tcPr>
          <w:p w14:paraId="42A316D9" w14:textId="77777777" w:rsidR="00970C2A" w:rsidRPr="00035A08" w:rsidRDefault="00970C2A" w:rsidP="00035A08">
            <w:pPr>
              <w:spacing w:line="276" w:lineRule="auto"/>
              <w:jc w:val="center"/>
              <w:rPr>
                <w:b/>
                <w:bCs/>
                <w:color w:val="FFFFFF"/>
              </w:rPr>
            </w:pPr>
            <w:r w:rsidRPr="00035A08">
              <w:rPr>
                <w:b/>
                <w:bCs/>
                <w:color w:val="FFFFFF"/>
              </w:rPr>
              <w:t>Calculation</w:t>
            </w:r>
          </w:p>
        </w:tc>
      </w:tr>
      <w:tr w:rsidR="009305BA" w14:paraId="73C16CEA" w14:textId="77777777" w:rsidTr="00035A08">
        <w:tc>
          <w:tcPr>
            <w:tcW w:w="1152" w:type="dxa"/>
            <w:tcBorders>
              <w:right w:val="nil"/>
            </w:tcBorders>
            <w:shd w:val="clear" w:color="auto" w:fill="D3DFEE"/>
          </w:tcPr>
          <w:p w14:paraId="5C1EEA4A" w14:textId="77777777" w:rsidR="00970C2A" w:rsidRPr="00035A08" w:rsidRDefault="00970C2A" w:rsidP="00035A08">
            <w:pPr>
              <w:spacing w:line="276" w:lineRule="auto"/>
              <w:jc w:val="center"/>
              <w:rPr>
                <w:b/>
                <w:bCs/>
              </w:rPr>
            </w:pPr>
            <w:r w:rsidRPr="00035A08">
              <w:rPr>
                <w:b/>
                <w:bCs/>
              </w:rPr>
              <w:t>A</w:t>
            </w:r>
          </w:p>
        </w:tc>
        <w:tc>
          <w:tcPr>
            <w:tcW w:w="3978" w:type="dxa"/>
            <w:tcBorders>
              <w:left w:val="nil"/>
              <w:right w:val="nil"/>
            </w:tcBorders>
            <w:shd w:val="clear" w:color="auto" w:fill="D3DFEE"/>
          </w:tcPr>
          <w:p w14:paraId="290F060E" w14:textId="77777777" w:rsidR="00970C2A" w:rsidRDefault="00970C2A" w:rsidP="00035A08">
            <w:pPr>
              <w:spacing w:line="276" w:lineRule="auto"/>
              <w:jc w:val="center"/>
            </w:pPr>
            <w:r>
              <w:t>Sales</w:t>
            </w:r>
          </w:p>
        </w:tc>
        <w:tc>
          <w:tcPr>
            <w:tcW w:w="2970" w:type="dxa"/>
            <w:tcBorders>
              <w:left w:val="nil"/>
            </w:tcBorders>
            <w:shd w:val="clear" w:color="auto" w:fill="D3DFEE"/>
          </w:tcPr>
          <w:p w14:paraId="40681383" w14:textId="77777777" w:rsidR="00970C2A" w:rsidRPr="00EF46B8" w:rsidRDefault="00970C2A" w:rsidP="00035A08">
            <w:pPr>
              <w:spacing w:line="276" w:lineRule="auto"/>
              <w:jc w:val="center"/>
              <w:rPr>
                <w:i/>
              </w:rPr>
            </w:pPr>
            <w:r w:rsidRPr="00EF46B8">
              <w:rPr>
                <w:i/>
              </w:rPr>
              <w:t>Input</w:t>
            </w:r>
          </w:p>
        </w:tc>
      </w:tr>
      <w:tr w:rsidR="009305BA" w14:paraId="411287F2" w14:textId="77777777" w:rsidTr="00035A08">
        <w:tc>
          <w:tcPr>
            <w:tcW w:w="1152" w:type="dxa"/>
            <w:tcBorders>
              <w:right w:val="nil"/>
            </w:tcBorders>
            <w:shd w:val="clear" w:color="auto" w:fill="auto"/>
          </w:tcPr>
          <w:p w14:paraId="5E7C5587" w14:textId="77777777" w:rsidR="00970C2A" w:rsidRPr="00035A08" w:rsidRDefault="00970C2A" w:rsidP="00035A08">
            <w:pPr>
              <w:spacing w:line="276" w:lineRule="auto"/>
              <w:jc w:val="center"/>
              <w:rPr>
                <w:b/>
                <w:bCs/>
              </w:rPr>
            </w:pPr>
            <w:r w:rsidRPr="00035A08">
              <w:rPr>
                <w:b/>
                <w:bCs/>
              </w:rPr>
              <w:t>B</w:t>
            </w:r>
          </w:p>
        </w:tc>
        <w:tc>
          <w:tcPr>
            <w:tcW w:w="3978" w:type="dxa"/>
            <w:tcBorders>
              <w:left w:val="nil"/>
              <w:right w:val="nil"/>
            </w:tcBorders>
            <w:shd w:val="clear" w:color="auto" w:fill="auto"/>
          </w:tcPr>
          <w:p w14:paraId="62E9F415" w14:textId="77777777" w:rsidR="00970C2A" w:rsidRDefault="00F67A6C" w:rsidP="00035A08">
            <w:pPr>
              <w:spacing w:line="276" w:lineRule="auto"/>
              <w:jc w:val="center"/>
            </w:pPr>
            <w:r>
              <w:t xml:space="preserve">Number of </w:t>
            </w:r>
            <w:r w:rsidR="00970C2A">
              <w:t>Customers</w:t>
            </w:r>
          </w:p>
        </w:tc>
        <w:tc>
          <w:tcPr>
            <w:tcW w:w="2970" w:type="dxa"/>
            <w:tcBorders>
              <w:left w:val="nil"/>
            </w:tcBorders>
            <w:shd w:val="clear" w:color="auto" w:fill="auto"/>
          </w:tcPr>
          <w:p w14:paraId="4445B3E1" w14:textId="77777777" w:rsidR="00970C2A" w:rsidRDefault="00970C2A" w:rsidP="00035A08">
            <w:pPr>
              <w:spacing w:line="276" w:lineRule="auto"/>
              <w:jc w:val="center"/>
            </w:pPr>
            <w:r w:rsidRPr="00035A08">
              <w:rPr>
                <w:i/>
              </w:rPr>
              <w:t>Input</w:t>
            </w:r>
          </w:p>
        </w:tc>
      </w:tr>
      <w:tr w:rsidR="009305BA" w14:paraId="38EE877B" w14:textId="77777777" w:rsidTr="00035A08">
        <w:tc>
          <w:tcPr>
            <w:tcW w:w="1152" w:type="dxa"/>
            <w:tcBorders>
              <w:right w:val="nil"/>
            </w:tcBorders>
            <w:shd w:val="clear" w:color="auto" w:fill="D3DFEE"/>
          </w:tcPr>
          <w:p w14:paraId="7EF61425" w14:textId="77777777" w:rsidR="00970C2A" w:rsidRPr="00035A08" w:rsidRDefault="00970C2A" w:rsidP="00035A08">
            <w:pPr>
              <w:spacing w:line="276" w:lineRule="auto"/>
              <w:jc w:val="center"/>
              <w:rPr>
                <w:b/>
                <w:bCs/>
              </w:rPr>
            </w:pPr>
            <w:r w:rsidRPr="00035A08">
              <w:rPr>
                <w:b/>
                <w:bCs/>
              </w:rPr>
              <w:t>C</w:t>
            </w:r>
          </w:p>
        </w:tc>
        <w:tc>
          <w:tcPr>
            <w:tcW w:w="3978" w:type="dxa"/>
            <w:tcBorders>
              <w:left w:val="nil"/>
              <w:right w:val="nil"/>
            </w:tcBorders>
            <w:shd w:val="clear" w:color="auto" w:fill="D3DFEE"/>
          </w:tcPr>
          <w:p w14:paraId="416FC95A" w14:textId="77777777" w:rsidR="00970C2A" w:rsidRDefault="00970C2A" w:rsidP="00035A08">
            <w:pPr>
              <w:spacing w:line="276" w:lineRule="auto"/>
              <w:jc w:val="center"/>
            </w:pPr>
            <w:r>
              <w:t>Average Use</w:t>
            </w:r>
          </w:p>
        </w:tc>
        <w:tc>
          <w:tcPr>
            <w:tcW w:w="2970" w:type="dxa"/>
            <w:tcBorders>
              <w:left w:val="nil"/>
            </w:tcBorders>
            <w:shd w:val="clear" w:color="auto" w:fill="D3DFEE"/>
          </w:tcPr>
          <w:p w14:paraId="788C498C" w14:textId="77777777" w:rsidR="00970C2A" w:rsidRPr="00EF46B8" w:rsidRDefault="00970C2A" w:rsidP="00035A08">
            <w:pPr>
              <w:spacing w:line="276" w:lineRule="auto"/>
              <w:jc w:val="center"/>
              <w:rPr>
                <w:b/>
              </w:rPr>
            </w:pPr>
            <w:r w:rsidRPr="00EF46B8">
              <w:rPr>
                <w:b/>
              </w:rPr>
              <w:t>A / B</w:t>
            </w:r>
          </w:p>
        </w:tc>
      </w:tr>
      <w:tr w:rsidR="009305BA" w14:paraId="315D35B3" w14:textId="77777777" w:rsidTr="00035A08">
        <w:tc>
          <w:tcPr>
            <w:tcW w:w="1152" w:type="dxa"/>
            <w:tcBorders>
              <w:right w:val="nil"/>
            </w:tcBorders>
            <w:shd w:val="clear" w:color="auto" w:fill="auto"/>
          </w:tcPr>
          <w:p w14:paraId="31D04AD5" w14:textId="77777777" w:rsidR="00970C2A" w:rsidRPr="00035A08" w:rsidRDefault="00970C2A" w:rsidP="00035A08">
            <w:pPr>
              <w:spacing w:line="276" w:lineRule="auto"/>
              <w:jc w:val="center"/>
              <w:rPr>
                <w:b/>
                <w:bCs/>
              </w:rPr>
            </w:pPr>
            <w:r w:rsidRPr="00035A08">
              <w:rPr>
                <w:b/>
                <w:bCs/>
              </w:rPr>
              <w:t>D</w:t>
            </w:r>
          </w:p>
        </w:tc>
        <w:tc>
          <w:tcPr>
            <w:tcW w:w="3978" w:type="dxa"/>
            <w:tcBorders>
              <w:left w:val="nil"/>
              <w:right w:val="nil"/>
            </w:tcBorders>
            <w:shd w:val="clear" w:color="auto" w:fill="auto"/>
          </w:tcPr>
          <w:p w14:paraId="1ED39C5B" w14:textId="77777777" w:rsidR="00970C2A" w:rsidRDefault="00970C2A" w:rsidP="00035A08">
            <w:pPr>
              <w:spacing w:line="276" w:lineRule="auto"/>
              <w:jc w:val="center"/>
            </w:pPr>
            <w:r>
              <w:t>Total Rate</w:t>
            </w:r>
          </w:p>
        </w:tc>
        <w:tc>
          <w:tcPr>
            <w:tcW w:w="2970" w:type="dxa"/>
            <w:tcBorders>
              <w:left w:val="nil"/>
            </w:tcBorders>
            <w:shd w:val="clear" w:color="auto" w:fill="auto"/>
          </w:tcPr>
          <w:p w14:paraId="372213C5" w14:textId="77777777" w:rsidR="00970C2A" w:rsidRDefault="00970C2A" w:rsidP="00035A08">
            <w:pPr>
              <w:spacing w:line="276" w:lineRule="auto"/>
              <w:jc w:val="center"/>
            </w:pPr>
            <w:r w:rsidRPr="00035A08">
              <w:rPr>
                <w:i/>
              </w:rPr>
              <w:t>Input</w:t>
            </w:r>
          </w:p>
        </w:tc>
      </w:tr>
      <w:tr w:rsidR="009305BA" w14:paraId="6FB30664" w14:textId="77777777" w:rsidTr="00035A08">
        <w:tc>
          <w:tcPr>
            <w:tcW w:w="1152" w:type="dxa"/>
            <w:tcBorders>
              <w:right w:val="nil"/>
            </w:tcBorders>
            <w:shd w:val="clear" w:color="auto" w:fill="D3DFEE"/>
          </w:tcPr>
          <w:p w14:paraId="5FE1D24B" w14:textId="77777777" w:rsidR="00970C2A" w:rsidRPr="00035A08" w:rsidRDefault="00970C2A" w:rsidP="00035A08">
            <w:pPr>
              <w:spacing w:line="276" w:lineRule="auto"/>
              <w:jc w:val="center"/>
              <w:rPr>
                <w:b/>
                <w:bCs/>
              </w:rPr>
            </w:pPr>
            <w:r w:rsidRPr="00035A08">
              <w:rPr>
                <w:b/>
                <w:bCs/>
              </w:rPr>
              <w:t>E</w:t>
            </w:r>
          </w:p>
        </w:tc>
        <w:tc>
          <w:tcPr>
            <w:tcW w:w="3978" w:type="dxa"/>
            <w:tcBorders>
              <w:left w:val="nil"/>
              <w:right w:val="nil"/>
            </w:tcBorders>
            <w:shd w:val="clear" w:color="auto" w:fill="D3DFEE"/>
          </w:tcPr>
          <w:p w14:paraId="754D5EE9" w14:textId="77777777" w:rsidR="00970C2A" w:rsidRDefault="00970C2A" w:rsidP="00035A08">
            <w:pPr>
              <w:spacing w:line="276" w:lineRule="auto"/>
              <w:jc w:val="center"/>
            </w:pPr>
            <w:r>
              <w:t>Average Bill</w:t>
            </w:r>
          </w:p>
        </w:tc>
        <w:tc>
          <w:tcPr>
            <w:tcW w:w="2970" w:type="dxa"/>
            <w:tcBorders>
              <w:left w:val="nil"/>
            </w:tcBorders>
            <w:shd w:val="clear" w:color="auto" w:fill="D3DFEE"/>
          </w:tcPr>
          <w:p w14:paraId="343EFE6A" w14:textId="77777777" w:rsidR="00970C2A" w:rsidRPr="00EF46B8" w:rsidRDefault="00970C2A" w:rsidP="00035A08">
            <w:pPr>
              <w:spacing w:line="276" w:lineRule="auto"/>
              <w:jc w:val="center"/>
              <w:rPr>
                <w:b/>
              </w:rPr>
            </w:pPr>
            <w:r w:rsidRPr="00EF46B8">
              <w:rPr>
                <w:b/>
              </w:rPr>
              <w:t>(C / 12) * D</w:t>
            </w:r>
          </w:p>
        </w:tc>
      </w:tr>
    </w:tbl>
    <w:p w14:paraId="42091B05" w14:textId="77777777" w:rsidR="00970C2A" w:rsidRDefault="00970C2A"/>
    <w:p w14:paraId="725E6FD9" w14:textId="77777777" w:rsidR="00970C2A" w:rsidRDefault="00970C2A" w:rsidP="00EF46B8">
      <w:pPr>
        <w:pStyle w:val="Heading4"/>
      </w:pPr>
      <w:r w:rsidRPr="00EF46B8">
        <w:t>Participation</w:t>
      </w:r>
      <w:r>
        <w:t xml:space="preserve"> Sub-Module</w:t>
      </w:r>
    </w:p>
    <w:p w14:paraId="0CF87670" w14:textId="77777777" w:rsidR="003F3F55" w:rsidRDefault="001E56D8" w:rsidP="005D54CE">
      <w:pPr>
        <w:spacing w:line="276" w:lineRule="auto"/>
        <w:ind w:firstLine="720"/>
      </w:pPr>
      <w:r>
        <w:t xml:space="preserve">The </w:t>
      </w:r>
      <w:r w:rsidR="008A2A21">
        <w:t xml:space="preserve">Participation </w:t>
      </w:r>
      <w:r>
        <w:t xml:space="preserve">sub-module of the </w:t>
      </w:r>
      <w:r w:rsidR="008A2A21">
        <w:t xml:space="preserve">Bill Impact </w:t>
      </w:r>
      <w:r>
        <w:t xml:space="preserve">module </w:t>
      </w:r>
      <w:r w:rsidR="003F3F55">
        <w:t>uses the average usage in the base case for non-participating customers and determin</w:t>
      </w:r>
      <w:r w:rsidR="00004600">
        <w:t>e</w:t>
      </w:r>
      <w:r w:rsidR="003F3F55">
        <w:t>s the usage of participants as follows:</w:t>
      </w:r>
    </w:p>
    <w:p w14:paraId="32E45A17" w14:textId="77777777" w:rsidR="003F3F55" w:rsidRDefault="003F3F55" w:rsidP="005D54CE">
      <w:pPr>
        <w:spacing w:line="276" w:lineRule="auto"/>
        <w:ind w:firstLine="720"/>
      </w:pP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3960"/>
        <w:gridCol w:w="2970"/>
      </w:tblGrid>
      <w:tr w:rsidR="009305BA" w14:paraId="50A7F99E" w14:textId="77777777" w:rsidTr="00035A08">
        <w:tc>
          <w:tcPr>
            <w:tcW w:w="1170" w:type="dxa"/>
            <w:tcBorders>
              <w:top w:val="single" w:sz="8" w:space="0" w:color="7BA0CD"/>
              <w:left w:val="single" w:sz="8" w:space="0" w:color="7BA0CD"/>
              <w:bottom w:val="single" w:sz="8" w:space="0" w:color="7BA0CD"/>
            </w:tcBorders>
            <w:shd w:val="clear" w:color="auto" w:fill="4F81BD"/>
          </w:tcPr>
          <w:p w14:paraId="7D60EF0E" w14:textId="77777777" w:rsidR="003F3F55" w:rsidRPr="00035A08" w:rsidRDefault="003F3F55" w:rsidP="005D54CE">
            <w:pPr>
              <w:spacing w:line="276" w:lineRule="auto"/>
              <w:jc w:val="center"/>
              <w:rPr>
                <w:b/>
                <w:bCs/>
                <w:color w:val="FFFFFF"/>
              </w:rPr>
            </w:pPr>
          </w:p>
        </w:tc>
        <w:tc>
          <w:tcPr>
            <w:tcW w:w="3960" w:type="dxa"/>
            <w:tcBorders>
              <w:top w:val="single" w:sz="8" w:space="0" w:color="7BA0CD"/>
              <w:bottom w:val="single" w:sz="8" w:space="0" w:color="7BA0CD"/>
            </w:tcBorders>
            <w:shd w:val="clear" w:color="auto" w:fill="4F81BD"/>
          </w:tcPr>
          <w:p w14:paraId="0ABFEFF7" w14:textId="77777777" w:rsidR="003F3F55" w:rsidRPr="00035A08" w:rsidRDefault="0047614A" w:rsidP="006E5E1A">
            <w:pPr>
              <w:spacing w:line="276" w:lineRule="auto"/>
              <w:jc w:val="center"/>
              <w:rPr>
                <w:b/>
                <w:bCs/>
                <w:color w:val="FFFFFF"/>
              </w:rPr>
            </w:pPr>
            <w:r w:rsidRPr="00035A08">
              <w:rPr>
                <w:b/>
                <w:bCs/>
                <w:color w:val="FFFFFF"/>
              </w:rPr>
              <w:t>Name</w:t>
            </w:r>
          </w:p>
        </w:tc>
        <w:tc>
          <w:tcPr>
            <w:tcW w:w="2970" w:type="dxa"/>
            <w:tcBorders>
              <w:top w:val="single" w:sz="8" w:space="0" w:color="7BA0CD"/>
              <w:bottom w:val="single" w:sz="8" w:space="0" w:color="7BA0CD"/>
              <w:right w:val="single" w:sz="8" w:space="0" w:color="7BA0CD"/>
            </w:tcBorders>
            <w:shd w:val="clear" w:color="auto" w:fill="4F81BD"/>
          </w:tcPr>
          <w:p w14:paraId="00657E39" w14:textId="77777777" w:rsidR="003F3F55" w:rsidRPr="00035A08" w:rsidRDefault="0047614A" w:rsidP="004127E3">
            <w:pPr>
              <w:spacing w:line="276" w:lineRule="auto"/>
              <w:jc w:val="center"/>
              <w:rPr>
                <w:b/>
                <w:bCs/>
                <w:color w:val="FFFFFF"/>
              </w:rPr>
            </w:pPr>
            <w:r w:rsidRPr="00035A08">
              <w:rPr>
                <w:b/>
                <w:bCs/>
                <w:color w:val="FFFFFF"/>
              </w:rPr>
              <w:t>Calculation</w:t>
            </w:r>
          </w:p>
        </w:tc>
      </w:tr>
      <w:tr w:rsidR="009305BA" w14:paraId="26C76E0D" w14:textId="77777777" w:rsidTr="00035A08">
        <w:tc>
          <w:tcPr>
            <w:tcW w:w="1170" w:type="dxa"/>
            <w:shd w:val="clear" w:color="auto" w:fill="D3DFEE"/>
          </w:tcPr>
          <w:p w14:paraId="572002FB" w14:textId="77777777" w:rsidR="003F3F55" w:rsidRPr="00035A08" w:rsidRDefault="0047614A" w:rsidP="005D54CE">
            <w:pPr>
              <w:spacing w:line="276" w:lineRule="auto"/>
              <w:jc w:val="center"/>
              <w:rPr>
                <w:b/>
                <w:bCs/>
              </w:rPr>
            </w:pPr>
            <w:r w:rsidRPr="00035A08">
              <w:rPr>
                <w:b/>
                <w:bCs/>
              </w:rPr>
              <w:t>A</w:t>
            </w:r>
          </w:p>
        </w:tc>
        <w:tc>
          <w:tcPr>
            <w:tcW w:w="3960" w:type="dxa"/>
            <w:shd w:val="clear" w:color="auto" w:fill="D3DFEE"/>
          </w:tcPr>
          <w:p w14:paraId="021F4495" w14:textId="77777777" w:rsidR="003F3F55" w:rsidRDefault="00F67A6C" w:rsidP="005D54CE">
            <w:pPr>
              <w:spacing w:line="276" w:lineRule="auto"/>
              <w:jc w:val="center"/>
            </w:pPr>
            <w:r>
              <w:t xml:space="preserve">Number of </w:t>
            </w:r>
            <w:r w:rsidR="0047614A">
              <w:t>Participants</w:t>
            </w:r>
          </w:p>
        </w:tc>
        <w:tc>
          <w:tcPr>
            <w:tcW w:w="2970" w:type="dxa"/>
            <w:shd w:val="clear" w:color="auto" w:fill="D3DFEE"/>
          </w:tcPr>
          <w:p w14:paraId="0496C31A" w14:textId="77777777" w:rsidR="003F3F55" w:rsidRPr="00EF46B8" w:rsidRDefault="0047614A" w:rsidP="005D54CE">
            <w:pPr>
              <w:spacing w:line="276" w:lineRule="auto"/>
              <w:jc w:val="center"/>
              <w:rPr>
                <w:i/>
              </w:rPr>
            </w:pPr>
            <w:r w:rsidRPr="00EF46B8">
              <w:rPr>
                <w:i/>
              </w:rPr>
              <w:t>Input</w:t>
            </w:r>
          </w:p>
        </w:tc>
      </w:tr>
      <w:tr w:rsidR="009305BA" w14:paraId="26DB9BAC" w14:textId="77777777" w:rsidTr="00035A08">
        <w:tc>
          <w:tcPr>
            <w:tcW w:w="1170" w:type="dxa"/>
            <w:tcBorders>
              <w:right w:val="nil"/>
            </w:tcBorders>
            <w:shd w:val="clear" w:color="auto" w:fill="auto"/>
          </w:tcPr>
          <w:p w14:paraId="4BD5BCA2" w14:textId="77777777" w:rsidR="003F3F55" w:rsidRPr="00035A08" w:rsidRDefault="0047614A" w:rsidP="005D54CE">
            <w:pPr>
              <w:spacing w:line="276" w:lineRule="auto"/>
              <w:jc w:val="center"/>
              <w:rPr>
                <w:b/>
                <w:bCs/>
              </w:rPr>
            </w:pPr>
            <w:r w:rsidRPr="00035A08">
              <w:rPr>
                <w:b/>
                <w:bCs/>
              </w:rPr>
              <w:t>B</w:t>
            </w:r>
          </w:p>
        </w:tc>
        <w:tc>
          <w:tcPr>
            <w:tcW w:w="3960" w:type="dxa"/>
            <w:tcBorders>
              <w:left w:val="nil"/>
              <w:right w:val="nil"/>
            </w:tcBorders>
            <w:shd w:val="clear" w:color="auto" w:fill="auto"/>
          </w:tcPr>
          <w:p w14:paraId="61B26E3A" w14:textId="77777777" w:rsidR="003F3F55" w:rsidRDefault="0047614A" w:rsidP="005D54CE">
            <w:pPr>
              <w:spacing w:line="276" w:lineRule="auto"/>
              <w:jc w:val="center"/>
            </w:pPr>
            <w:r>
              <w:t>Savings</w:t>
            </w:r>
          </w:p>
        </w:tc>
        <w:tc>
          <w:tcPr>
            <w:tcW w:w="2970" w:type="dxa"/>
            <w:tcBorders>
              <w:left w:val="nil"/>
            </w:tcBorders>
            <w:shd w:val="clear" w:color="auto" w:fill="auto"/>
          </w:tcPr>
          <w:p w14:paraId="153B8149" w14:textId="77777777" w:rsidR="003F3F55" w:rsidRDefault="0047614A" w:rsidP="005D54CE">
            <w:pPr>
              <w:spacing w:line="276" w:lineRule="auto"/>
              <w:jc w:val="center"/>
            </w:pPr>
            <w:r w:rsidRPr="00035A08">
              <w:rPr>
                <w:i/>
              </w:rPr>
              <w:t>Input</w:t>
            </w:r>
          </w:p>
        </w:tc>
      </w:tr>
      <w:tr w:rsidR="009305BA" w14:paraId="697AB73E" w14:textId="77777777" w:rsidTr="00035A08">
        <w:tc>
          <w:tcPr>
            <w:tcW w:w="1170" w:type="dxa"/>
            <w:shd w:val="clear" w:color="auto" w:fill="D3DFEE"/>
          </w:tcPr>
          <w:p w14:paraId="51EFDA45" w14:textId="77777777" w:rsidR="003F3F55" w:rsidRPr="00035A08" w:rsidRDefault="0047614A" w:rsidP="005D54CE">
            <w:pPr>
              <w:spacing w:line="276" w:lineRule="auto"/>
              <w:jc w:val="center"/>
              <w:rPr>
                <w:b/>
                <w:bCs/>
              </w:rPr>
            </w:pPr>
            <w:r w:rsidRPr="00035A08">
              <w:rPr>
                <w:b/>
                <w:bCs/>
              </w:rPr>
              <w:t>C</w:t>
            </w:r>
          </w:p>
        </w:tc>
        <w:tc>
          <w:tcPr>
            <w:tcW w:w="3960" w:type="dxa"/>
            <w:shd w:val="clear" w:color="auto" w:fill="D3DFEE"/>
          </w:tcPr>
          <w:p w14:paraId="79955929" w14:textId="77777777" w:rsidR="003F3F55" w:rsidRDefault="0047614A" w:rsidP="005D54CE">
            <w:pPr>
              <w:spacing w:line="276" w:lineRule="auto"/>
              <w:jc w:val="center"/>
            </w:pPr>
            <w:r>
              <w:t>Savings per Participant</w:t>
            </w:r>
          </w:p>
        </w:tc>
        <w:tc>
          <w:tcPr>
            <w:tcW w:w="2970" w:type="dxa"/>
            <w:shd w:val="clear" w:color="auto" w:fill="D3DFEE"/>
          </w:tcPr>
          <w:p w14:paraId="718A80C3" w14:textId="77777777" w:rsidR="003F3F55" w:rsidRPr="00EF46B8" w:rsidRDefault="0047614A" w:rsidP="005D54CE">
            <w:pPr>
              <w:spacing w:line="276" w:lineRule="auto"/>
              <w:jc w:val="center"/>
              <w:rPr>
                <w:b/>
              </w:rPr>
            </w:pPr>
            <w:r w:rsidRPr="00EF46B8">
              <w:rPr>
                <w:b/>
              </w:rPr>
              <w:t>B / A</w:t>
            </w:r>
          </w:p>
        </w:tc>
      </w:tr>
      <w:tr w:rsidR="009305BA" w14:paraId="3110ED07" w14:textId="77777777" w:rsidTr="00035A08">
        <w:tc>
          <w:tcPr>
            <w:tcW w:w="1170" w:type="dxa"/>
            <w:tcBorders>
              <w:right w:val="nil"/>
            </w:tcBorders>
            <w:shd w:val="clear" w:color="auto" w:fill="auto"/>
          </w:tcPr>
          <w:p w14:paraId="23D4AFD9" w14:textId="77777777" w:rsidR="003F3F55" w:rsidRPr="00035A08" w:rsidRDefault="0047614A" w:rsidP="005D54CE">
            <w:pPr>
              <w:spacing w:line="276" w:lineRule="auto"/>
              <w:jc w:val="center"/>
              <w:rPr>
                <w:b/>
                <w:bCs/>
              </w:rPr>
            </w:pPr>
            <w:r w:rsidRPr="00035A08">
              <w:rPr>
                <w:b/>
                <w:bCs/>
              </w:rPr>
              <w:t>D</w:t>
            </w:r>
          </w:p>
        </w:tc>
        <w:tc>
          <w:tcPr>
            <w:tcW w:w="3960" w:type="dxa"/>
            <w:tcBorders>
              <w:left w:val="nil"/>
              <w:right w:val="nil"/>
            </w:tcBorders>
            <w:shd w:val="clear" w:color="auto" w:fill="auto"/>
          </w:tcPr>
          <w:p w14:paraId="316AE802" w14:textId="77777777" w:rsidR="003F3F55" w:rsidRDefault="0047614A" w:rsidP="005D54CE">
            <w:pPr>
              <w:spacing w:line="276" w:lineRule="auto"/>
              <w:jc w:val="center"/>
            </w:pPr>
            <w:r>
              <w:t>Average Non-Participant Usage</w:t>
            </w:r>
          </w:p>
        </w:tc>
        <w:tc>
          <w:tcPr>
            <w:tcW w:w="2970" w:type="dxa"/>
            <w:tcBorders>
              <w:left w:val="nil"/>
            </w:tcBorders>
            <w:shd w:val="clear" w:color="auto" w:fill="auto"/>
          </w:tcPr>
          <w:p w14:paraId="6D5355D6" w14:textId="77777777" w:rsidR="003F3F55" w:rsidRDefault="0047614A" w:rsidP="005D54CE">
            <w:pPr>
              <w:spacing w:line="276" w:lineRule="auto"/>
              <w:jc w:val="center"/>
            </w:pPr>
            <w:r w:rsidRPr="00035A08">
              <w:rPr>
                <w:i/>
              </w:rPr>
              <w:t>Input</w:t>
            </w:r>
          </w:p>
        </w:tc>
      </w:tr>
      <w:tr w:rsidR="009305BA" w14:paraId="7C8D4DDB" w14:textId="77777777" w:rsidTr="00035A08">
        <w:tc>
          <w:tcPr>
            <w:tcW w:w="1170" w:type="dxa"/>
            <w:shd w:val="clear" w:color="auto" w:fill="D3DFEE"/>
          </w:tcPr>
          <w:p w14:paraId="7161E9CD" w14:textId="77777777" w:rsidR="003F3F55" w:rsidRPr="00035A08" w:rsidRDefault="0047614A" w:rsidP="005D54CE">
            <w:pPr>
              <w:spacing w:line="276" w:lineRule="auto"/>
              <w:jc w:val="center"/>
              <w:rPr>
                <w:b/>
                <w:bCs/>
              </w:rPr>
            </w:pPr>
            <w:r w:rsidRPr="00035A08">
              <w:rPr>
                <w:b/>
                <w:bCs/>
              </w:rPr>
              <w:t>E</w:t>
            </w:r>
          </w:p>
        </w:tc>
        <w:tc>
          <w:tcPr>
            <w:tcW w:w="3960" w:type="dxa"/>
            <w:shd w:val="clear" w:color="auto" w:fill="D3DFEE"/>
          </w:tcPr>
          <w:p w14:paraId="54534985" w14:textId="77777777" w:rsidR="003F3F55" w:rsidRDefault="0047614A" w:rsidP="005D54CE">
            <w:pPr>
              <w:spacing w:line="276" w:lineRule="auto"/>
              <w:jc w:val="center"/>
            </w:pPr>
            <w:r>
              <w:t>Average Participant Usage</w:t>
            </w:r>
          </w:p>
        </w:tc>
        <w:tc>
          <w:tcPr>
            <w:tcW w:w="2970" w:type="dxa"/>
            <w:shd w:val="clear" w:color="auto" w:fill="D3DFEE"/>
          </w:tcPr>
          <w:p w14:paraId="1A384A76" w14:textId="77777777" w:rsidR="003F3F55" w:rsidRPr="00EF46B8" w:rsidRDefault="0047614A" w:rsidP="005D54CE">
            <w:pPr>
              <w:spacing w:line="276" w:lineRule="auto"/>
              <w:jc w:val="center"/>
              <w:rPr>
                <w:b/>
              </w:rPr>
            </w:pPr>
            <w:r w:rsidRPr="00EF46B8">
              <w:rPr>
                <w:b/>
              </w:rPr>
              <w:t>D - C</w:t>
            </w:r>
          </w:p>
        </w:tc>
      </w:tr>
    </w:tbl>
    <w:p w14:paraId="53F0C537" w14:textId="77777777" w:rsidR="003F3F55" w:rsidRDefault="003F3F55" w:rsidP="005D54CE">
      <w:pPr>
        <w:spacing w:line="276" w:lineRule="auto"/>
        <w:ind w:firstLine="720"/>
      </w:pPr>
    </w:p>
    <w:p w14:paraId="56CAB628" w14:textId="77777777" w:rsidR="003F3F55" w:rsidRDefault="0047614A" w:rsidP="005D54CE">
      <w:pPr>
        <w:spacing w:line="276" w:lineRule="auto"/>
      </w:pPr>
      <w:r>
        <w:t>The average bill is</w:t>
      </w:r>
      <w:r w:rsidR="00004600">
        <w:t xml:space="preserve"> then</w:t>
      </w:r>
      <w:r>
        <w:t xml:space="preserve"> calculated the same as before (see 3.2.1.2).</w:t>
      </w:r>
    </w:p>
    <w:p w14:paraId="39BAFAF1" w14:textId="77777777" w:rsidR="0047614A" w:rsidRPr="00EF46B8" w:rsidRDefault="0047614A" w:rsidP="00EF46B8"/>
    <w:p w14:paraId="5539C44B" w14:textId="77777777" w:rsidR="0047614A" w:rsidRDefault="0047614A" w:rsidP="00EF46B8">
      <w:pPr>
        <w:pStyle w:val="Heading4"/>
      </w:pPr>
      <w:r>
        <w:t>Difference in Participant Average Use Sub-Module</w:t>
      </w:r>
    </w:p>
    <w:p w14:paraId="54CA5FD3" w14:textId="77777777" w:rsidR="0047614A" w:rsidRDefault="0047614A" w:rsidP="00E22B98">
      <w:pPr>
        <w:spacing w:line="276" w:lineRule="auto"/>
        <w:ind w:firstLine="576"/>
      </w:pPr>
      <w:r>
        <w:t xml:space="preserve">The Difference in Participant Average Use sub-module of the Bill Impact module uses the same method as the Participants sub-module (see 3.1.2.2) to calculate </w:t>
      </w:r>
      <w:r w:rsidR="00F01286">
        <w:t xml:space="preserve">the average participant </w:t>
      </w:r>
      <w:r w:rsidR="00F67A6C">
        <w:t>usage ex</w:t>
      </w:r>
      <w:r w:rsidR="00F01286">
        <w:t xml:space="preserve">cept </w:t>
      </w:r>
      <w:r w:rsidR="00F67A6C">
        <w:t xml:space="preserve">that </w:t>
      </w:r>
      <w:r w:rsidR="00F01286">
        <w:t xml:space="preserve">the amount entered as the </w:t>
      </w:r>
      <w:r w:rsidR="00F67A6C">
        <w:t>“</w:t>
      </w:r>
      <w:r w:rsidR="00F01286">
        <w:t>Difference in Participant Average Use</w:t>
      </w:r>
      <w:r w:rsidR="00F67A6C">
        <w:t>”</w:t>
      </w:r>
      <w:r w:rsidR="00F01286">
        <w:t xml:space="preserve"> (see 2.1.2.3) is added to the average participant usage. Once this is done, the average non-participant usage is calculated as follows:</w:t>
      </w:r>
    </w:p>
    <w:p w14:paraId="72CAFCC3" w14:textId="77777777" w:rsidR="00F01286" w:rsidRDefault="00F01286" w:rsidP="00EF46B8"/>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4050"/>
        <w:gridCol w:w="2880"/>
      </w:tblGrid>
      <w:tr w:rsidR="009305BA" w14:paraId="60F2E999" w14:textId="77777777" w:rsidTr="00805D60">
        <w:tc>
          <w:tcPr>
            <w:tcW w:w="1170" w:type="dxa"/>
            <w:tcBorders>
              <w:top w:val="single" w:sz="8" w:space="0" w:color="7BA0CD"/>
              <w:left w:val="single" w:sz="8" w:space="0" w:color="7BA0CD"/>
              <w:bottom w:val="single" w:sz="8" w:space="0" w:color="7BA0CD"/>
              <w:right w:val="nil"/>
            </w:tcBorders>
            <w:shd w:val="clear" w:color="auto" w:fill="4F81BD"/>
            <w:vAlign w:val="center"/>
          </w:tcPr>
          <w:p w14:paraId="704FC03E" w14:textId="77777777" w:rsidR="00F01286" w:rsidRPr="00035A08" w:rsidRDefault="00F01286" w:rsidP="00035A08">
            <w:pPr>
              <w:jc w:val="center"/>
              <w:rPr>
                <w:b/>
                <w:bCs/>
                <w:color w:val="FFFFFF"/>
              </w:rPr>
            </w:pPr>
          </w:p>
        </w:tc>
        <w:tc>
          <w:tcPr>
            <w:tcW w:w="4050" w:type="dxa"/>
            <w:tcBorders>
              <w:top w:val="single" w:sz="8" w:space="0" w:color="7BA0CD"/>
              <w:left w:val="nil"/>
              <w:bottom w:val="single" w:sz="8" w:space="0" w:color="7BA0CD"/>
              <w:right w:val="nil"/>
            </w:tcBorders>
            <w:shd w:val="clear" w:color="auto" w:fill="4F81BD"/>
            <w:vAlign w:val="center"/>
          </w:tcPr>
          <w:p w14:paraId="3E8F1105" w14:textId="77777777" w:rsidR="00F01286" w:rsidRPr="00035A08" w:rsidRDefault="00F01286" w:rsidP="00035A08">
            <w:pPr>
              <w:jc w:val="center"/>
              <w:rPr>
                <w:b/>
                <w:bCs/>
                <w:color w:val="FFFFFF"/>
              </w:rPr>
            </w:pPr>
            <w:r w:rsidRPr="00035A08">
              <w:rPr>
                <w:b/>
                <w:bCs/>
                <w:color w:val="FFFFFF"/>
              </w:rPr>
              <w:t>Name</w:t>
            </w:r>
          </w:p>
        </w:tc>
        <w:tc>
          <w:tcPr>
            <w:tcW w:w="2880" w:type="dxa"/>
            <w:tcBorders>
              <w:top w:val="single" w:sz="8" w:space="0" w:color="7BA0CD"/>
              <w:left w:val="nil"/>
              <w:bottom w:val="single" w:sz="8" w:space="0" w:color="7BA0CD"/>
              <w:right w:val="single" w:sz="8" w:space="0" w:color="7BA0CD"/>
            </w:tcBorders>
            <w:shd w:val="clear" w:color="auto" w:fill="4F81BD"/>
            <w:vAlign w:val="center"/>
          </w:tcPr>
          <w:p w14:paraId="118CC875" w14:textId="77777777" w:rsidR="00F01286" w:rsidRPr="00035A08" w:rsidRDefault="00F01286" w:rsidP="00035A08">
            <w:pPr>
              <w:jc w:val="center"/>
              <w:rPr>
                <w:b/>
                <w:bCs/>
                <w:color w:val="FFFFFF"/>
              </w:rPr>
            </w:pPr>
            <w:r w:rsidRPr="00035A08">
              <w:rPr>
                <w:b/>
                <w:bCs/>
                <w:color w:val="FFFFFF"/>
              </w:rPr>
              <w:t>Calculation</w:t>
            </w:r>
          </w:p>
        </w:tc>
      </w:tr>
      <w:tr w:rsidR="009305BA" w14:paraId="7659844A" w14:textId="77777777" w:rsidTr="00035A08">
        <w:tc>
          <w:tcPr>
            <w:tcW w:w="1170" w:type="dxa"/>
            <w:tcBorders>
              <w:right w:val="nil"/>
            </w:tcBorders>
            <w:shd w:val="clear" w:color="auto" w:fill="D3DFEE"/>
            <w:vAlign w:val="center"/>
          </w:tcPr>
          <w:p w14:paraId="61F87C27" w14:textId="77777777" w:rsidR="00F01286" w:rsidRPr="00035A08" w:rsidRDefault="00F01286" w:rsidP="00035A08">
            <w:pPr>
              <w:jc w:val="center"/>
              <w:rPr>
                <w:b/>
                <w:bCs/>
              </w:rPr>
            </w:pPr>
            <w:r w:rsidRPr="00035A08">
              <w:rPr>
                <w:b/>
                <w:bCs/>
              </w:rPr>
              <w:t>A</w:t>
            </w:r>
          </w:p>
        </w:tc>
        <w:tc>
          <w:tcPr>
            <w:tcW w:w="4050" w:type="dxa"/>
            <w:tcBorders>
              <w:left w:val="nil"/>
              <w:right w:val="nil"/>
            </w:tcBorders>
            <w:shd w:val="clear" w:color="auto" w:fill="D3DFEE"/>
            <w:vAlign w:val="center"/>
          </w:tcPr>
          <w:p w14:paraId="14BFE1C0" w14:textId="77777777" w:rsidR="00F01286" w:rsidRDefault="00F01286" w:rsidP="00035A08">
            <w:pPr>
              <w:jc w:val="center"/>
            </w:pPr>
            <w:r>
              <w:t>Sales</w:t>
            </w:r>
          </w:p>
        </w:tc>
        <w:tc>
          <w:tcPr>
            <w:tcW w:w="2880" w:type="dxa"/>
            <w:tcBorders>
              <w:left w:val="nil"/>
            </w:tcBorders>
            <w:shd w:val="clear" w:color="auto" w:fill="D3DFEE"/>
            <w:vAlign w:val="center"/>
          </w:tcPr>
          <w:p w14:paraId="204446B6" w14:textId="77777777" w:rsidR="00F01286" w:rsidRPr="00EF46B8" w:rsidRDefault="00F01286" w:rsidP="00035A08">
            <w:pPr>
              <w:jc w:val="center"/>
              <w:rPr>
                <w:i/>
              </w:rPr>
            </w:pPr>
            <w:r w:rsidRPr="00EF46B8">
              <w:rPr>
                <w:i/>
              </w:rPr>
              <w:t>Input</w:t>
            </w:r>
          </w:p>
        </w:tc>
      </w:tr>
      <w:tr w:rsidR="009305BA" w14:paraId="0FE8AA03" w14:textId="77777777" w:rsidTr="00035A08">
        <w:tc>
          <w:tcPr>
            <w:tcW w:w="1170" w:type="dxa"/>
            <w:tcBorders>
              <w:right w:val="nil"/>
            </w:tcBorders>
            <w:shd w:val="clear" w:color="auto" w:fill="auto"/>
            <w:vAlign w:val="center"/>
          </w:tcPr>
          <w:p w14:paraId="6334F25B" w14:textId="77777777" w:rsidR="00F01286" w:rsidRPr="00035A08" w:rsidRDefault="00F01286" w:rsidP="00035A08">
            <w:pPr>
              <w:jc w:val="center"/>
              <w:rPr>
                <w:b/>
                <w:bCs/>
              </w:rPr>
            </w:pPr>
            <w:r w:rsidRPr="00035A08">
              <w:rPr>
                <w:b/>
                <w:bCs/>
              </w:rPr>
              <w:t>B</w:t>
            </w:r>
          </w:p>
        </w:tc>
        <w:tc>
          <w:tcPr>
            <w:tcW w:w="4050" w:type="dxa"/>
            <w:tcBorders>
              <w:left w:val="nil"/>
              <w:right w:val="nil"/>
            </w:tcBorders>
            <w:shd w:val="clear" w:color="auto" w:fill="auto"/>
            <w:vAlign w:val="center"/>
          </w:tcPr>
          <w:p w14:paraId="0142876C" w14:textId="77777777" w:rsidR="00F01286" w:rsidRDefault="00F01286" w:rsidP="00035A08">
            <w:pPr>
              <w:jc w:val="center"/>
            </w:pPr>
            <w:r>
              <w:t>Average Participant Usage</w:t>
            </w:r>
          </w:p>
        </w:tc>
        <w:tc>
          <w:tcPr>
            <w:tcW w:w="2880" w:type="dxa"/>
            <w:tcBorders>
              <w:left w:val="nil"/>
            </w:tcBorders>
            <w:shd w:val="clear" w:color="auto" w:fill="auto"/>
            <w:vAlign w:val="center"/>
          </w:tcPr>
          <w:p w14:paraId="7051DF19" w14:textId="77777777" w:rsidR="00F01286" w:rsidRDefault="00F01286" w:rsidP="00035A08">
            <w:pPr>
              <w:jc w:val="center"/>
            </w:pPr>
            <w:r w:rsidRPr="00035A08">
              <w:rPr>
                <w:i/>
              </w:rPr>
              <w:t>Input</w:t>
            </w:r>
          </w:p>
        </w:tc>
      </w:tr>
      <w:tr w:rsidR="009305BA" w14:paraId="24CA473F" w14:textId="77777777" w:rsidTr="00035A08">
        <w:tc>
          <w:tcPr>
            <w:tcW w:w="1170" w:type="dxa"/>
            <w:tcBorders>
              <w:right w:val="nil"/>
            </w:tcBorders>
            <w:shd w:val="clear" w:color="auto" w:fill="D3DFEE"/>
            <w:vAlign w:val="center"/>
          </w:tcPr>
          <w:p w14:paraId="6BCEF1B4" w14:textId="77777777" w:rsidR="00F01286" w:rsidRPr="00035A08" w:rsidRDefault="00F01286" w:rsidP="00035A08">
            <w:pPr>
              <w:jc w:val="center"/>
              <w:rPr>
                <w:b/>
                <w:bCs/>
              </w:rPr>
            </w:pPr>
            <w:r w:rsidRPr="00035A08">
              <w:rPr>
                <w:b/>
                <w:bCs/>
              </w:rPr>
              <w:t>C</w:t>
            </w:r>
          </w:p>
        </w:tc>
        <w:tc>
          <w:tcPr>
            <w:tcW w:w="4050" w:type="dxa"/>
            <w:tcBorders>
              <w:left w:val="nil"/>
              <w:right w:val="nil"/>
            </w:tcBorders>
            <w:shd w:val="clear" w:color="auto" w:fill="D3DFEE"/>
            <w:vAlign w:val="center"/>
          </w:tcPr>
          <w:p w14:paraId="7D1B8491" w14:textId="77777777" w:rsidR="00F01286" w:rsidRDefault="00F67A6C" w:rsidP="00035A08">
            <w:pPr>
              <w:jc w:val="center"/>
            </w:pPr>
            <w:r>
              <w:t xml:space="preserve">Number of </w:t>
            </w:r>
            <w:r w:rsidR="00F01286">
              <w:t>Participants</w:t>
            </w:r>
          </w:p>
        </w:tc>
        <w:tc>
          <w:tcPr>
            <w:tcW w:w="2880" w:type="dxa"/>
            <w:tcBorders>
              <w:left w:val="nil"/>
            </w:tcBorders>
            <w:shd w:val="clear" w:color="auto" w:fill="D3DFEE"/>
            <w:vAlign w:val="center"/>
          </w:tcPr>
          <w:p w14:paraId="23B9AA62" w14:textId="77777777" w:rsidR="00F01286" w:rsidRDefault="00F01286" w:rsidP="00035A08">
            <w:pPr>
              <w:jc w:val="center"/>
            </w:pPr>
            <w:r w:rsidRPr="00035A08">
              <w:rPr>
                <w:i/>
              </w:rPr>
              <w:t>Input</w:t>
            </w:r>
          </w:p>
        </w:tc>
      </w:tr>
      <w:tr w:rsidR="009305BA" w14:paraId="594A203B" w14:textId="77777777" w:rsidTr="00035A08">
        <w:tc>
          <w:tcPr>
            <w:tcW w:w="1170" w:type="dxa"/>
            <w:tcBorders>
              <w:right w:val="nil"/>
            </w:tcBorders>
            <w:shd w:val="clear" w:color="auto" w:fill="auto"/>
            <w:vAlign w:val="center"/>
          </w:tcPr>
          <w:p w14:paraId="7F1C06F6" w14:textId="77777777" w:rsidR="00F01286" w:rsidRPr="00035A08" w:rsidRDefault="00F01286" w:rsidP="00035A08">
            <w:pPr>
              <w:jc w:val="center"/>
              <w:rPr>
                <w:b/>
                <w:bCs/>
              </w:rPr>
            </w:pPr>
            <w:r w:rsidRPr="00035A08">
              <w:rPr>
                <w:b/>
                <w:bCs/>
              </w:rPr>
              <w:t>D</w:t>
            </w:r>
          </w:p>
        </w:tc>
        <w:tc>
          <w:tcPr>
            <w:tcW w:w="4050" w:type="dxa"/>
            <w:tcBorders>
              <w:left w:val="nil"/>
              <w:right w:val="nil"/>
            </w:tcBorders>
            <w:shd w:val="clear" w:color="auto" w:fill="auto"/>
            <w:vAlign w:val="center"/>
          </w:tcPr>
          <w:p w14:paraId="71440BB7" w14:textId="77777777" w:rsidR="00F01286" w:rsidRDefault="00F01286" w:rsidP="00035A08">
            <w:pPr>
              <w:jc w:val="center"/>
            </w:pPr>
            <w:r>
              <w:t>Total Non-Participant Usage</w:t>
            </w:r>
          </w:p>
        </w:tc>
        <w:tc>
          <w:tcPr>
            <w:tcW w:w="2880" w:type="dxa"/>
            <w:tcBorders>
              <w:left w:val="nil"/>
            </w:tcBorders>
            <w:shd w:val="clear" w:color="auto" w:fill="auto"/>
            <w:vAlign w:val="center"/>
          </w:tcPr>
          <w:p w14:paraId="5A827187" w14:textId="77777777" w:rsidR="00F01286" w:rsidRPr="00EF46B8" w:rsidRDefault="00F01286" w:rsidP="00035A08">
            <w:pPr>
              <w:jc w:val="center"/>
              <w:rPr>
                <w:b/>
              </w:rPr>
            </w:pPr>
            <w:r w:rsidRPr="00EF46B8">
              <w:rPr>
                <w:b/>
              </w:rPr>
              <w:t>A – (B * C)</w:t>
            </w:r>
          </w:p>
        </w:tc>
      </w:tr>
      <w:tr w:rsidR="009305BA" w14:paraId="24E96417" w14:textId="77777777" w:rsidTr="00035A08">
        <w:tc>
          <w:tcPr>
            <w:tcW w:w="1170" w:type="dxa"/>
            <w:tcBorders>
              <w:right w:val="nil"/>
            </w:tcBorders>
            <w:shd w:val="clear" w:color="auto" w:fill="D3DFEE"/>
            <w:vAlign w:val="center"/>
          </w:tcPr>
          <w:p w14:paraId="0BC36F9F" w14:textId="77777777" w:rsidR="00F01286" w:rsidRPr="00035A08" w:rsidRDefault="00F01286" w:rsidP="00035A08">
            <w:pPr>
              <w:jc w:val="center"/>
              <w:rPr>
                <w:b/>
                <w:bCs/>
              </w:rPr>
            </w:pPr>
            <w:r w:rsidRPr="00035A08">
              <w:rPr>
                <w:b/>
                <w:bCs/>
              </w:rPr>
              <w:t>E</w:t>
            </w:r>
          </w:p>
        </w:tc>
        <w:tc>
          <w:tcPr>
            <w:tcW w:w="4050" w:type="dxa"/>
            <w:tcBorders>
              <w:left w:val="nil"/>
              <w:right w:val="nil"/>
            </w:tcBorders>
            <w:shd w:val="clear" w:color="auto" w:fill="D3DFEE"/>
            <w:vAlign w:val="center"/>
          </w:tcPr>
          <w:p w14:paraId="639DE7B9" w14:textId="77777777" w:rsidR="00F01286" w:rsidRDefault="00F67A6C" w:rsidP="00035A08">
            <w:pPr>
              <w:jc w:val="center"/>
            </w:pPr>
            <w:r>
              <w:t xml:space="preserve">Number of </w:t>
            </w:r>
            <w:r w:rsidR="00F01286">
              <w:t>Non-Participants</w:t>
            </w:r>
          </w:p>
        </w:tc>
        <w:tc>
          <w:tcPr>
            <w:tcW w:w="2880" w:type="dxa"/>
            <w:tcBorders>
              <w:left w:val="nil"/>
            </w:tcBorders>
            <w:shd w:val="clear" w:color="auto" w:fill="D3DFEE"/>
            <w:vAlign w:val="center"/>
          </w:tcPr>
          <w:p w14:paraId="3BCF908E" w14:textId="77777777" w:rsidR="00F01286" w:rsidRDefault="00F01286" w:rsidP="00035A08">
            <w:pPr>
              <w:jc w:val="center"/>
            </w:pPr>
            <w:r w:rsidRPr="00035A08">
              <w:rPr>
                <w:i/>
              </w:rPr>
              <w:t>Input</w:t>
            </w:r>
          </w:p>
        </w:tc>
      </w:tr>
      <w:tr w:rsidR="009305BA" w14:paraId="2FD70402" w14:textId="77777777" w:rsidTr="00035A08">
        <w:tc>
          <w:tcPr>
            <w:tcW w:w="1170" w:type="dxa"/>
            <w:tcBorders>
              <w:right w:val="nil"/>
            </w:tcBorders>
            <w:shd w:val="clear" w:color="auto" w:fill="auto"/>
            <w:vAlign w:val="center"/>
          </w:tcPr>
          <w:p w14:paraId="28B18B4B" w14:textId="77777777" w:rsidR="00F01286" w:rsidRPr="00035A08" w:rsidRDefault="00F01286" w:rsidP="00035A08">
            <w:pPr>
              <w:jc w:val="center"/>
              <w:rPr>
                <w:b/>
                <w:bCs/>
              </w:rPr>
            </w:pPr>
            <w:r w:rsidRPr="00035A08">
              <w:rPr>
                <w:b/>
                <w:bCs/>
              </w:rPr>
              <w:t>F</w:t>
            </w:r>
          </w:p>
        </w:tc>
        <w:tc>
          <w:tcPr>
            <w:tcW w:w="4050" w:type="dxa"/>
            <w:tcBorders>
              <w:left w:val="nil"/>
              <w:right w:val="nil"/>
            </w:tcBorders>
            <w:shd w:val="clear" w:color="auto" w:fill="auto"/>
            <w:vAlign w:val="center"/>
          </w:tcPr>
          <w:p w14:paraId="3E3973EB" w14:textId="77777777" w:rsidR="00F01286" w:rsidRDefault="00F01286" w:rsidP="00035A08">
            <w:pPr>
              <w:jc w:val="center"/>
            </w:pPr>
            <w:r>
              <w:t>Average Non-Participant Usage</w:t>
            </w:r>
          </w:p>
        </w:tc>
        <w:tc>
          <w:tcPr>
            <w:tcW w:w="2880" w:type="dxa"/>
            <w:tcBorders>
              <w:left w:val="nil"/>
            </w:tcBorders>
            <w:shd w:val="clear" w:color="auto" w:fill="auto"/>
            <w:vAlign w:val="center"/>
          </w:tcPr>
          <w:p w14:paraId="3D20D6A3" w14:textId="77777777" w:rsidR="00F01286" w:rsidRPr="00EF46B8" w:rsidRDefault="00F01286" w:rsidP="00035A08">
            <w:pPr>
              <w:jc w:val="center"/>
              <w:rPr>
                <w:b/>
              </w:rPr>
            </w:pPr>
            <w:r w:rsidRPr="00EF46B8">
              <w:rPr>
                <w:b/>
              </w:rPr>
              <w:t>D / E</w:t>
            </w:r>
          </w:p>
        </w:tc>
      </w:tr>
    </w:tbl>
    <w:p w14:paraId="66C17D91" w14:textId="739BAF1C" w:rsidR="005D54CE" w:rsidRDefault="005D54CE" w:rsidP="00EF46B8"/>
    <w:p w14:paraId="405BD1E8" w14:textId="77777777" w:rsidR="005D54CE" w:rsidRDefault="005D54CE">
      <w:pPr>
        <w:suppressAutoHyphens w:val="0"/>
      </w:pPr>
    </w:p>
    <w:p w14:paraId="3699ABAD" w14:textId="77777777" w:rsidR="005D54CE" w:rsidRDefault="005D54CE">
      <w:pPr>
        <w:suppressAutoHyphens w:val="0"/>
      </w:pPr>
      <w:r>
        <w:br w:type="page"/>
      </w:r>
    </w:p>
    <w:p w14:paraId="4DDC49F6" w14:textId="2839A0E3" w:rsidR="00ED71B2" w:rsidRDefault="00ED71B2" w:rsidP="00ED71B2">
      <w:pPr>
        <w:pStyle w:val="Heading2"/>
      </w:pPr>
      <w:bookmarkStart w:id="55" w:name="__RefHeading__736_1188058509"/>
      <w:bookmarkStart w:id="56" w:name="_Toc376263709"/>
      <w:bookmarkStart w:id="57" w:name="_Toc376263773"/>
      <w:bookmarkStart w:id="58" w:name="_Toc376263962"/>
      <w:bookmarkStart w:id="59" w:name="_Toc278464916"/>
      <w:bookmarkStart w:id="60" w:name="_Toc376263713"/>
      <w:bookmarkStart w:id="61" w:name="_Toc376263777"/>
      <w:bookmarkEnd w:id="55"/>
      <w:r>
        <w:t>Utility Sector</w:t>
      </w:r>
      <w:bookmarkEnd w:id="56"/>
      <w:bookmarkEnd w:id="57"/>
      <w:bookmarkEnd w:id="58"/>
      <w:bookmarkEnd w:id="59"/>
    </w:p>
    <w:p w14:paraId="1347D9A5" w14:textId="02F04CFE" w:rsidR="005D54CE" w:rsidRDefault="005D54CE" w:rsidP="005D54CE">
      <w:pPr>
        <w:spacing w:line="276" w:lineRule="auto"/>
        <w:ind w:firstLine="576"/>
      </w:pPr>
      <w:r>
        <w:t xml:space="preserve">The Utility Sector calculations are split into three parts: the Fundamental module, the Performance Incentive module, and the Deferred Capital Investment module. </w:t>
      </w:r>
    </w:p>
    <w:p w14:paraId="19116474" w14:textId="77777777" w:rsidR="00ED71B2" w:rsidRDefault="00ED71B2" w:rsidP="00ED71B2">
      <w:pPr>
        <w:pStyle w:val="Heading3"/>
        <w:spacing w:line="276" w:lineRule="auto"/>
      </w:pPr>
      <w:bookmarkStart w:id="62" w:name="_Toc278464917"/>
      <w:r>
        <w:t>Fundamental Sub-Module</w:t>
      </w:r>
      <w:bookmarkEnd w:id="62"/>
    </w:p>
    <w:p w14:paraId="4B4774A1" w14:textId="77777777" w:rsidR="00ED71B2" w:rsidRDefault="00ED71B2" w:rsidP="00ED71B2"/>
    <w:p w14:paraId="0F523110" w14:textId="77777777" w:rsidR="00ED71B2" w:rsidRDefault="00ED71B2" w:rsidP="00E22B98">
      <w:pPr>
        <w:spacing w:line="276" w:lineRule="auto"/>
      </w:pPr>
      <w:r>
        <w:t xml:space="preserve">The Fundamental Sub-Module of the Utility Calculations calculates values for major cost-of-service categories within electric power supply. </w:t>
      </w:r>
    </w:p>
    <w:p w14:paraId="5F30EDDB" w14:textId="77777777" w:rsidR="00ED71B2" w:rsidRDefault="00ED71B2" w:rsidP="00ED71B2"/>
    <w:p w14:paraId="7321C97D" w14:textId="77777777" w:rsidR="00ED71B2" w:rsidRDefault="00ED71B2" w:rsidP="00ED71B2">
      <w:r>
        <w:t xml:space="preserve">Values for energy sales (kWh) are borrowed from the Customer Calculations. </w:t>
      </w:r>
    </w:p>
    <w:p w14:paraId="723BC5EE" w14:textId="77777777" w:rsidR="00ED71B2" w:rsidRDefault="00ED71B2" w:rsidP="00ED71B2"/>
    <w:p w14:paraId="7A252FAC" w14:textId="77777777" w:rsidR="00ED71B2" w:rsidRDefault="00ED71B2" w:rsidP="00ED71B2">
      <w:r>
        <w:t>Forecasts of peak load are calculated using the following formula:</w:t>
      </w:r>
    </w:p>
    <w:p w14:paraId="7FA2CF31" w14:textId="77777777" w:rsidR="00ED71B2" w:rsidRDefault="00ED71B2" w:rsidP="00ED71B2"/>
    <w:p w14:paraId="23F398CB" w14:textId="77777777" w:rsidR="00ED71B2" w:rsidRDefault="00A57276" w:rsidP="00ED71B2">
      <m:oMathPara>
        <m:oMath>
          <m:sSub>
            <m:sSubPr>
              <m:ctrlPr>
                <w:rPr>
                  <w:rFonts w:ascii="Cambria Math" w:hAnsi="Cambria Math"/>
                  <w:i/>
                </w:rPr>
              </m:ctrlPr>
            </m:sSubPr>
            <m:e>
              <m:r>
                <w:rPr>
                  <w:rFonts w:ascii="Cambria Math" w:hAnsi="Cambria Math"/>
                </w:rPr>
                <m:t>Annual Peak Load</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Sales</m:t>
                  </m:r>
                </m:e>
                <m:sub>
                  <m:r>
                    <w:rPr>
                      <w:rFonts w:ascii="Cambria Math" w:hAnsi="Cambria Math"/>
                    </w:rPr>
                    <m:t>t</m:t>
                  </m:r>
                </m:sub>
              </m:sSub>
            </m:num>
            <m:den>
              <m:sSub>
                <m:sSubPr>
                  <m:ctrlPr>
                    <w:rPr>
                      <w:rFonts w:ascii="Cambria Math" w:hAnsi="Cambria Math"/>
                      <w:i/>
                    </w:rPr>
                  </m:ctrlPr>
                </m:sSubPr>
                <m:e>
                  <m:r>
                    <w:rPr>
                      <w:rFonts w:ascii="Cambria Math" w:hAnsi="Cambria Math"/>
                    </w:rPr>
                    <m:t>Annual Load Factor</m:t>
                  </m:r>
                </m:e>
                <m:sub>
                  <m:r>
                    <w:rPr>
                      <w:rFonts w:ascii="Cambria Math" w:hAnsi="Cambria Math"/>
                    </w:rPr>
                    <m:t>0</m:t>
                  </m:r>
                </m:sub>
              </m:sSub>
              <m:r>
                <w:rPr>
                  <w:rFonts w:ascii="Cambria Math" w:hAnsi="Cambria Math"/>
                </w:rPr>
                <m:t>*8760</m:t>
              </m:r>
              <m:r>
                <w:rPr>
                  <w:rFonts w:ascii="Cambria Math" w:hAnsi="Cambria Math"/>
                </w:rPr>
                <m:t>hours</m:t>
              </m:r>
            </m:den>
          </m:f>
        </m:oMath>
      </m:oMathPara>
    </w:p>
    <w:p w14:paraId="53395F50" w14:textId="77777777" w:rsidR="00ED71B2" w:rsidRDefault="00ED71B2" w:rsidP="00ED71B2"/>
    <w:p w14:paraId="5B0A6969" w14:textId="77777777" w:rsidR="00ED71B2" w:rsidRDefault="00ED71B2" w:rsidP="00ED71B2">
      <w:r>
        <w:t>Where</w:t>
      </w:r>
    </w:p>
    <w:p w14:paraId="397AC9D2" w14:textId="77777777" w:rsidR="00ED71B2" w:rsidRDefault="00ED71B2" w:rsidP="00ED71B2"/>
    <w:p w14:paraId="369D4D9D" w14:textId="77777777" w:rsidR="00ED71B2" w:rsidRDefault="00ED71B2" w:rsidP="00ED71B2">
      <m:oMathPara>
        <m:oMath>
          <m:r>
            <w:rPr>
              <w:rFonts w:ascii="Cambria Math" w:hAnsi="Cambria Math"/>
            </w:rPr>
            <m:t>Annual Load Factor=</m:t>
          </m:r>
          <m:f>
            <m:fPr>
              <m:ctrlPr>
                <w:rPr>
                  <w:rFonts w:ascii="Cambria Math" w:hAnsi="Cambria Math"/>
                  <w:i/>
                </w:rPr>
              </m:ctrlPr>
            </m:fPr>
            <m:num>
              <m:r>
                <w:rPr>
                  <w:rFonts w:ascii="Cambria Math" w:hAnsi="Cambria Math"/>
                </w:rPr>
                <m:t>Average Annual Load</m:t>
              </m:r>
            </m:num>
            <m:den>
              <m:r>
                <w:rPr>
                  <w:rFonts w:ascii="Cambria Math" w:hAnsi="Cambria Math"/>
                </w:rPr>
                <m:t>Annual Peak Load</m:t>
              </m:r>
            </m:den>
          </m:f>
        </m:oMath>
      </m:oMathPara>
    </w:p>
    <w:p w14:paraId="4BB74F16" w14:textId="77777777" w:rsidR="00ED71B2" w:rsidRDefault="00ED71B2" w:rsidP="00ED71B2"/>
    <w:p w14:paraId="5261CAAB" w14:textId="77777777" w:rsidR="00ED71B2" w:rsidRDefault="00ED71B2" w:rsidP="00E22B98">
      <w:pPr>
        <w:spacing w:line="276" w:lineRule="auto"/>
      </w:pPr>
      <w:r>
        <w:t xml:space="preserve">This calculation uses the user-input annual load factor for year zero - </w:t>
      </w:r>
      <m:oMath>
        <m:sSub>
          <m:sSubPr>
            <m:ctrlPr>
              <w:rPr>
                <w:rFonts w:ascii="Cambria Math" w:hAnsi="Cambria Math"/>
                <w:i/>
              </w:rPr>
            </m:ctrlPr>
          </m:sSubPr>
          <m:e>
            <m:r>
              <w:rPr>
                <w:rFonts w:ascii="Cambria Math" w:hAnsi="Cambria Math"/>
              </w:rPr>
              <m:t>Annual Load Factor</m:t>
            </m:r>
          </m:e>
          <m:sub>
            <m:r>
              <w:rPr>
                <w:rFonts w:ascii="Cambria Math" w:hAnsi="Cambria Math"/>
              </w:rPr>
              <m:t>0</m:t>
            </m:r>
          </m:sub>
        </m:sSub>
        <m:r>
          <m:rPr>
            <m:sty m:val="p"/>
          </m:rPr>
          <w:rPr>
            <w:rFonts w:ascii="Cambria Math" w:hAnsi="Cambria Math"/>
          </w:rPr>
          <w:softHyphen/>
        </m:r>
      </m:oMath>
      <w:r>
        <w:t xml:space="preserve"> - to transform average annual load into peak annual load. Average annual load is computed by dividing the annual sales - </w:t>
      </w:r>
      <m:oMath>
        <m:sSub>
          <m:sSubPr>
            <m:ctrlPr>
              <w:rPr>
                <w:rFonts w:ascii="Cambria Math" w:hAnsi="Cambria Math"/>
                <w:i/>
              </w:rPr>
            </m:ctrlPr>
          </m:sSubPr>
          <m:e>
            <m:r>
              <w:rPr>
                <w:rFonts w:ascii="Cambria Math" w:hAnsi="Cambria Math"/>
              </w:rPr>
              <m:t>Sales</m:t>
            </m:r>
          </m:e>
          <m:sub>
            <m:r>
              <w:rPr>
                <w:rFonts w:ascii="Cambria Math" w:hAnsi="Cambria Math"/>
              </w:rPr>
              <m:t>t</m:t>
            </m:r>
          </m:sub>
        </m:sSub>
      </m:oMath>
      <w:r>
        <w:t xml:space="preserve"> – by 8760 hours to convert annual kWh (energy) to average annual kW (load). </w:t>
      </w:r>
    </w:p>
    <w:p w14:paraId="0CA8ED7F" w14:textId="77777777" w:rsidR="00ED71B2" w:rsidRDefault="00ED71B2" w:rsidP="00E22B98">
      <w:pPr>
        <w:spacing w:line="276" w:lineRule="auto"/>
      </w:pPr>
    </w:p>
    <w:p w14:paraId="47ABDFC7" w14:textId="77777777" w:rsidR="00ED71B2" w:rsidRPr="00EC2BD2" w:rsidRDefault="00ED71B2" w:rsidP="00E22B98">
      <w:pPr>
        <w:spacing w:line="276" w:lineRule="auto"/>
        <w:rPr>
          <w:b/>
        </w:rPr>
      </w:pPr>
      <w:r w:rsidRPr="00EC2BD2">
        <w:rPr>
          <w:b/>
        </w:rPr>
        <w:t xml:space="preserve">Variable Costs </w:t>
      </w:r>
    </w:p>
    <w:p w14:paraId="27B4A970" w14:textId="77777777" w:rsidR="00ED71B2" w:rsidRDefault="00ED71B2" w:rsidP="00E22B98">
      <w:pPr>
        <w:spacing w:line="276" w:lineRule="auto"/>
      </w:pPr>
      <w:r>
        <w:t xml:space="preserve">Variable Costs are calculated so as to account for the distribution of peak and off-peak sales, the differences in costs of production during peak periods vs. during off-peak periods, and the change in sales that occur under the DSM scenario. </w:t>
      </w:r>
    </w:p>
    <w:p w14:paraId="58D506DA" w14:textId="77777777" w:rsidR="00ED71B2" w:rsidRDefault="00ED71B2" w:rsidP="00E22B98">
      <w:pPr>
        <w:spacing w:line="276" w:lineRule="auto"/>
      </w:pPr>
    </w:p>
    <w:p w14:paraId="7F74B8E0" w14:textId="77777777" w:rsidR="00ED71B2" w:rsidRDefault="00ED71B2" w:rsidP="00E22B98">
      <w:pPr>
        <w:spacing w:line="276" w:lineRule="auto"/>
      </w:pPr>
      <w:r>
        <w:t>Annual peak and off-peak costs of production are calculated using the growth formula common throughout this analysis. An example with peak costs is given below:</w:t>
      </w:r>
    </w:p>
    <w:p w14:paraId="3BE567DB" w14:textId="77777777" w:rsidR="00ED71B2" w:rsidRDefault="00ED71B2" w:rsidP="00E22B98">
      <w:pPr>
        <w:spacing w:line="276" w:lineRule="auto"/>
      </w:pPr>
    </w:p>
    <w:p w14:paraId="6ACE0769" w14:textId="77777777" w:rsidR="00ED71B2" w:rsidRDefault="00A57276" w:rsidP="00E22B98">
      <w:pPr>
        <w:spacing w:line="276" w:lineRule="auto"/>
      </w:pPr>
      <m:oMathPara>
        <m:oMath>
          <m:sSub>
            <m:sSubPr>
              <m:ctrlPr>
                <w:rPr>
                  <w:rFonts w:ascii="Cambria Math" w:hAnsi="Cambria Math"/>
                  <w:i/>
                </w:rPr>
              </m:ctrlPr>
            </m:sSubPr>
            <m:e>
              <m:r>
                <w:rPr>
                  <w:rFonts w:ascii="Cambria Math" w:hAnsi="Cambria Math"/>
                </w:rPr>
                <m:t>Peak Costs of Production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Peak Costs of Production</m:t>
              </m:r>
            </m:e>
            <m:sub>
              <m:r>
                <w:rPr>
                  <w:rFonts w:ascii="Cambria Math" w:hAnsi="Cambria Math"/>
                </w:rPr>
                <m:t>t-1</m:t>
              </m:r>
            </m:sub>
          </m:sSub>
          <m:r>
            <w:rPr>
              <w:rFonts w:ascii="Cambria Math" w:hAnsi="Cambria Math"/>
            </w:rPr>
            <m:t>*(1+Peak Cost Growth Rate)</m:t>
          </m:r>
        </m:oMath>
      </m:oMathPara>
    </w:p>
    <w:p w14:paraId="7CFF3297" w14:textId="77777777" w:rsidR="00ED71B2" w:rsidRDefault="00ED71B2" w:rsidP="00E22B98">
      <w:pPr>
        <w:spacing w:line="276" w:lineRule="auto"/>
      </w:pPr>
    </w:p>
    <w:p w14:paraId="6544B6FA" w14:textId="77777777" w:rsidR="00ED71B2" w:rsidRDefault="00ED71B2" w:rsidP="00E22B98">
      <w:pPr>
        <w:spacing w:line="276" w:lineRule="auto"/>
      </w:pPr>
      <w:r>
        <w:t>Average Costs of Production are calculated as a weighted average of the Peak Costs of Production and the Off-Peak Costs of Production, weighted by Peak Sales and Off-Peak Sales, respectively.  The Average Costs of Production are calculated for each year, and for the DSM and BAU scenarios, as follows:</w:t>
      </w:r>
    </w:p>
    <w:p w14:paraId="182C72DC" w14:textId="77777777" w:rsidR="00ED71B2" w:rsidRDefault="00ED71B2" w:rsidP="00E22B98">
      <w:pPr>
        <w:spacing w:line="276" w:lineRule="auto"/>
      </w:pPr>
    </w:p>
    <w:tbl>
      <w:tblPr>
        <w:tblW w:w="0" w:type="auto"/>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080"/>
        <w:gridCol w:w="3655"/>
        <w:gridCol w:w="3743"/>
      </w:tblGrid>
      <w:tr w:rsidR="00ED71B2" w14:paraId="31F2A235" w14:textId="77777777" w:rsidTr="00ED71B2">
        <w:tc>
          <w:tcPr>
            <w:tcW w:w="1170" w:type="dxa"/>
            <w:tcBorders>
              <w:top w:val="single" w:sz="8" w:space="0" w:color="7BA0CD"/>
              <w:left w:val="single" w:sz="8" w:space="0" w:color="7BA0CD"/>
              <w:bottom w:val="single" w:sz="8" w:space="0" w:color="7BA0CD"/>
            </w:tcBorders>
            <w:shd w:val="clear" w:color="auto" w:fill="4F81BD"/>
          </w:tcPr>
          <w:p w14:paraId="7C3F13D2" w14:textId="77777777" w:rsidR="00ED71B2" w:rsidRPr="00035A08" w:rsidRDefault="00ED71B2" w:rsidP="00E22B98">
            <w:pPr>
              <w:pStyle w:val="BodyText"/>
              <w:spacing w:line="276" w:lineRule="auto"/>
              <w:jc w:val="center"/>
              <w:rPr>
                <w:b/>
                <w:bCs/>
                <w:color w:val="FFFFFF"/>
              </w:rPr>
            </w:pPr>
          </w:p>
        </w:tc>
        <w:tc>
          <w:tcPr>
            <w:tcW w:w="3942" w:type="dxa"/>
            <w:tcBorders>
              <w:top w:val="single" w:sz="8" w:space="0" w:color="7BA0CD"/>
              <w:bottom w:val="single" w:sz="8" w:space="0" w:color="7BA0CD"/>
            </w:tcBorders>
            <w:shd w:val="clear" w:color="auto" w:fill="4F81BD"/>
          </w:tcPr>
          <w:p w14:paraId="1AE85E72" w14:textId="77777777" w:rsidR="00ED71B2" w:rsidRPr="00035A08" w:rsidRDefault="00ED71B2" w:rsidP="00E22B98">
            <w:pPr>
              <w:pStyle w:val="BodyText"/>
              <w:spacing w:line="276" w:lineRule="auto"/>
              <w:jc w:val="center"/>
              <w:rPr>
                <w:b/>
                <w:bCs/>
                <w:color w:val="FFFFFF"/>
              </w:rPr>
            </w:pPr>
            <w:r w:rsidRPr="00035A08">
              <w:rPr>
                <w:b/>
                <w:bCs/>
                <w:color w:val="FFFFFF"/>
              </w:rPr>
              <w:t>Name</w:t>
            </w:r>
          </w:p>
        </w:tc>
        <w:tc>
          <w:tcPr>
            <w:tcW w:w="2898" w:type="dxa"/>
            <w:tcBorders>
              <w:top w:val="single" w:sz="8" w:space="0" w:color="7BA0CD"/>
              <w:bottom w:val="single" w:sz="8" w:space="0" w:color="7BA0CD"/>
              <w:right w:val="single" w:sz="8" w:space="0" w:color="7BA0CD"/>
            </w:tcBorders>
            <w:shd w:val="clear" w:color="auto" w:fill="4F81BD"/>
          </w:tcPr>
          <w:p w14:paraId="5F7BF854" w14:textId="77777777" w:rsidR="00ED71B2" w:rsidRPr="00035A08" w:rsidRDefault="00ED71B2" w:rsidP="00E22B98">
            <w:pPr>
              <w:pStyle w:val="BodyText"/>
              <w:spacing w:line="276" w:lineRule="auto"/>
              <w:jc w:val="center"/>
              <w:rPr>
                <w:b/>
                <w:bCs/>
                <w:color w:val="FFFFFF"/>
              </w:rPr>
            </w:pPr>
            <w:r w:rsidRPr="00035A08">
              <w:rPr>
                <w:b/>
                <w:bCs/>
                <w:color w:val="FFFFFF"/>
              </w:rPr>
              <w:t>Calculation</w:t>
            </w:r>
          </w:p>
        </w:tc>
      </w:tr>
      <w:tr w:rsidR="00ED71B2" w14:paraId="2BD47C4C" w14:textId="77777777" w:rsidTr="00ED71B2">
        <w:tc>
          <w:tcPr>
            <w:tcW w:w="1170" w:type="dxa"/>
            <w:shd w:val="clear" w:color="auto" w:fill="D3DFEE"/>
          </w:tcPr>
          <w:p w14:paraId="4445901D" w14:textId="77777777" w:rsidR="00ED71B2" w:rsidRPr="00035A08" w:rsidRDefault="00ED71B2" w:rsidP="00E22B98">
            <w:pPr>
              <w:pStyle w:val="BodyText"/>
              <w:spacing w:line="276" w:lineRule="auto"/>
              <w:jc w:val="center"/>
              <w:rPr>
                <w:b/>
                <w:bCs/>
              </w:rPr>
            </w:pPr>
            <w:r w:rsidRPr="00035A08">
              <w:rPr>
                <w:b/>
                <w:bCs/>
              </w:rPr>
              <w:t>A</w:t>
            </w:r>
          </w:p>
        </w:tc>
        <w:tc>
          <w:tcPr>
            <w:tcW w:w="3942" w:type="dxa"/>
            <w:shd w:val="clear" w:color="auto" w:fill="D3DFEE"/>
          </w:tcPr>
          <w:p w14:paraId="3BB67F9A" w14:textId="77777777" w:rsidR="00ED71B2" w:rsidRDefault="00ED71B2" w:rsidP="00E22B98">
            <w:pPr>
              <w:pStyle w:val="BodyText"/>
              <w:spacing w:line="276" w:lineRule="auto"/>
              <w:jc w:val="center"/>
            </w:pPr>
            <w:r>
              <w:t>Peak Costs of Production</w:t>
            </w:r>
          </w:p>
        </w:tc>
        <w:tc>
          <w:tcPr>
            <w:tcW w:w="2898" w:type="dxa"/>
            <w:shd w:val="clear" w:color="auto" w:fill="D3DFEE"/>
          </w:tcPr>
          <w:p w14:paraId="634A1354" w14:textId="77777777" w:rsidR="00ED71B2" w:rsidRDefault="00ED71B2" w:rsidP="00E22B98">
            <w:pPr>
              <w:pStyle w:val="BodyText"/>
              <w:spacing w:line="276" w:lineRule="auto"/>
              <w:jc w:val="center"/>
            </w:pPr>
            <w:r w:rsidRPr="00035A08">
              <w:rPr>
                <w:i/>
              </w:rPr>
              <w:t>Input</w:t>
            </w:r>
          </w:p>
        </w:tc>
      </w:tr>
      <w:tr w:rsidR="00ED71B2" w14:paraId="3C73FDE8" w14:textId="77777777" w:rsidTr="00ED71B2">
        <w:tc>
          <w:tcPr>
            <w:tcW w:w="1170" w:type="dxa"/>
            <w:tcBorders>
              <w:right w:val="nil"/>
            </w:tcBorders>
            <w:shd w:val="clear" w:color="auto" w:fill="auto"/>
          </w:tcPr>
          <w:p w14:paraId="11B12FFA" w14:textId="77777777" w:rsidR="00ED71B2" w:rsidRPr="00035A08" w:rsidRDefault="00ED71B2" w:rsidP="00E22B98">
            <w:pPr>
              <w:pStyle w:val="BodyText"/>
              <w:spacing w:line="276" w:lineRule="auto"/>
              <w:jc w:val="center"/>
              <w:rPr>
                <w:b/>
                <w:bCs/>
              </w:rPr>
            </w:pPr>
            <w:r w:rsidRPr="00035A08">
              <w:rPr>
                <w:b/>
                <w:bCs/>
              </w:rPr>
              <w:t>B</w:t>
            </w:r>
          </w:p>
        </w:tc>
        <w:tc>
          <w:tcPr>
            <w:tcW w:w="3942" w:type="dxa"/>
            <w:tcBorders>
              <w:left w:val="nil"/>
              <w:right w:val="nil"/>
            </w:tcBorders>
            <w:shd w:val="clear" w:color="auto" w:fill="auto"/>
          </w:tcPr>
          <w:p w14:paraId="558A3E6B" w14:textId="77777777" w:rsidR="00ED71B2" w:rsidRDefault="00ED71B2" w:rsidP="00E22B98">
            <w:pPr>
              <w:pStyle w:val="BodyText"/>
              <w:spacing w:line="276" w:lineRule="auto"/>
              <w:jc w:val="center"/>
            </w:pPr>
            <w:r>
              <w:t>Off-Peak Costs of Production</w:t>
            </w:r>
          </w:p>
        </w:tc>
        <w:tc>
          <w:tcPr>
            <w:tcW w:w="2898" w:type="dxa"/>
            <w:tcBorders>
              <w:left w:val="nil"/>
            </w:tcBorders>
            <w:shd w:val="clear" w:color="auto" w:fill="auto"/>
          </w:tcPr>
          <w:p w14:paraId="33897C58" w14:textId="77777777" w:rsidR="00ED71B2" w:rsidRDefault="00ED71B2" w:rsidP="00E22B98">
            <w:pPr>
              <w:pStyle w:val="BodyText"/>
              <w:spacing w:line="276" w:lineRule="auto"/>
              <w:jc w:val="center"/>
            </w:pPr>
            <w:r w:rsidRPr="00035A08">
              <w:rPr>
                <w:i/>
              </w:rPr>
              <w:t>Input</w:t>
            </w:r>
          </w:p>
        </w:tc>
      </w:tr>
      <w:tr w:rsidR="00ED71B2" w14:paraId="76D406FB" w14:textId="77777777" w:rsidTr="00ED71B2">
        <w:tc>
          <w:tcPr>
            <w:tcW w:w="1170" w:type="dxa"/>
            <w:shd w:val="clear" w:color="auto" w:fill="D3DFEE"/>
          </w:tcPr>
          <w:p w14:paraId="48E08120" w14:textId="77777777" w:rsidR="00ED71B2" w:rsidRPr="00035A08" w:rsidRDefault="00ED71B2" w:rsidP="00E22B98">
            <w:pPr>
              <w:pStyle w:val="BodyText"/>
              <w:spacing w:line="276" w:lineRule="auto"/>
              <w:jc w:val="center"/>
              <w:rPr>
                <w:b/>
                <w:bCs/>
              </w:rPr>
            </w:pPr>
            <w:r w:rsidRPr="00035A08">
              <w:rPr>
                <w:b/>
                <w:bCs/>
              </w:rPr>
              <w:t>C</w:t>
            </w:r>
          </w:p>
        </w:tc>
        <w:tc>
          <w:tcPr>
            <w:tcW w:w="3942" w:type="dxa"/>
            <w:shd w:val="clear" w:color="auto" w:fill="D3DFEE"/>
          </w:tcPr>
          <w:p w14:paraId="67C68C47" w14:textId="77777777" w:rsidR="00ED71B2" w:rsidRDefault="00ED71B2" w:rsidP="00E22B98">
            <w:pPr>
              <w:pStyle w:val="BodyText"/>
              <w:spacing w:line="276" w:lineRule="auto"/>
              <w:jc w:val="center"/>
            </w:pPr>
            <w:r>
              <w:t>Residential Peak Sales</w:t>
            </w:r>
          </w:p>
        </w:tc>
        <w:tc>
          <w:tcPr>
            <w:tcW w:w="2898" w:type="dxa"/>
            <w:shd w:val="clear" w:color="auto" w:fill="D3DFEE"/>
          </w:tcPr>
          <w:p w14:paraId="47006FF6" w14:textId="77777777" w:rsidR="00ED71B2" w:rsidRDefault="00ED71B2" w:rsidP="00E22B98">
            <w:pPr>
              <w:pStyle w:val="BodyText"/>
              <w:spacing w:line="276" w:lineRule="auto"/>
              <w:jc w:val="center"/>
            </w:pPr>
            <w:r w:rsidRPr="00035A08">
              <w:rPr>
                <w:i/>
              </w:rPr>
              <w:t>Input</w:t>
            </w:r>
          </w:p>
        </w:tc>
      </w:tr>
      <w:tr w:rsidR="00ED71B2" w14:paraId="1DEE33FE" w14:textId="77777777" w:rsidTr="00ED71B2">
        <w:tc>
          <w:tcPr>
            <w:tcW w:w="1170" w:type="dxa"/>
            <w:tcBorders>
              <w:right w:val="nil"/>
            </w:tcBorders>
            <w:shd w:val="clear" w:color="auto" w:fill="auto"/>
          </w:tcPr>
          <w:p w14:paraId="3F1CCA7D" w14:textId="77777777" w:rsidR="00ED71B2" w:rsidRPr="00035A08" w:rsidRDefault="00ED71B2" w:rsidP="00E22B98">
            <w:pPr>
              <w:pStyle w:val="BodyText"/>
              <w:spacing w:line="276" w:lineRule="auto"/>
              <w:jc w:val="center"/>
              <w:rPr>
                <w:b/>
                <w:bCs/>
              </w:rPr>
            </w:pPr>
            <w:r w:rsidRPr="00035A08">
              <w:rPr>
                <w:b/>
                <w:bCs/>
              </w:rPr>
              <w:t>D</w:t>
            </w:r>
          </w:p>
        </w:tc>
        <w:tc>
          <w:tcPr>
            <w:tcW w:w="3942" w:type="dxa"/>
            <w:tcBorders>
              <w:left w:val="nil"/>
              <w:right w:val="nil"/>
            </w:tcBorders>
            <w:shd w:val="clear" w:color="auto" w:fill="auto"/>
          </w:tcPr>
          <w:p w14:paraId="4E90E843" w14:textId="77777777" w:rsidR="00ED71B2" w:rsidRDefault="00ED71B2" w:rsidP="00E22B98">
            <w:pPr>
              <w:pStyle w:val="BodyText"/>
              <w:spacing w:line="276" w:lineRule="auto"/>
              <w:jc w:val="center"/>
            </w:pPr>
            <w:r>
              <w:t>Residential Off-Peak Sales</w:t>
            </w:r>
          </w:p>
        </w:tc>
        <w:tc>
          <w:tcPr>
            <w:tcW w:w="2898" w:type="dxa"/>
            <w:tcBorders>
              <w:left w:val="nil"/>
            </w:tcBorders>
            <w:shd w:val="clear" w:color="auto" w:fill="auto"/>
          </w:tcPr>
          <w:p w14:paraId="282B3DCA" w14:textId="77777777" w:rsidR="00ED71B2" w:rsidRPr="00EC2BD2" w:rsidRDefault="00ED71B2" w:rsidP="00E22B98">
            <w:pPr>
              <w:pStyle w:val="BodyText"/>
              <w:spacing w:line="276" w:lineRule="auto"/>
              <w:jc w:val="center"/>
              <w:rPr>
                <w:i/>
              </w:rPr>
            </w:pPr>
            <w:r>
              <w:rPr>
                <w:i/>
              </w:rPr>
              <w:t>Input</w:t>
            </w:r>
          </w:p>
        </w:tc>
      </w:tr>
      <w:tr w:rsidR="00ED71B2" w14:paraId="6CE90EC0" w14:textId="77777777" w:rsidTr="00ED71B2">
        <w:tc>
          <w:tcPr>
            <w:tcW w:w="1170" w:type="dxa"/>
            <w:shd w:val="clear" w:color="auto" w:fill="D3DFEE"/>
          </w:tcPr>
          <w:p w14:paraId="564D674C" w14:textId="77777777" w:rsidR="00ED71B2" w:rsidRPr="00035A08" w:rsidRDefault="00ED71B2" w:rsidP="00E22B98">
            <w:pPr>
              <w:pStyle w:val="BodyText"/>
              <w:spacing w:line="276" w:lineRule="auto"/>
              <w:jc w:val="center"/>
              <w:rPr>
                <w:b/>
                <w:bCs/>
              </w:rPr>
            </w:pPr>
            <w:r w:rsidRPr="00035A08">
              <w:rPr>
                <w:b/>
                <w:bCs/>
              </w:rPr>
              <w:t>E</w:t>
            </w:r>
          </w:p>
        </w:tc>
        <w:tc>
          <w:tcPr>
            <w:tcW w:w="3942" w:type="dxa"/>
            <w:shd w:val="clear" w:color="auto" w:fill="D3DFEE"/>
          </w:tcPr>
          <w:p w14:paraId="7280A825" w14:textId="77777777" w:rsidR="00ED71B2" w:rsidRDefault="00ED71B2" w:rsidP="00E22B98">
            <w:pPr>
              <w:pStyle w:val="BodyText"/>
              <w:spacing w:line="276" w:lineRule="auto"/>
              <w:jc w:val="center"/>
            </w:pPr>
            <w:r>
              <w:t>Commercial Peak Sales</w:t>
            </w:r>
          </w:p>
        </w:tc>
        <w:tc>
          <w:tcPr>
            <w:tcW w:w="2898" w:type="dxa"/>
            <w:shd w:val="clear" w:color="auto" w:fill="D3DFEE"/>
          </w:tcPr>
          <w:p w14:paraId="4CBF95F7" w14:textId="77777777" w:rsidR="00ED71B2" w:rsidRDefault="00ED71B2" w:rsidP="00E22B98">
            <w:pPr>
              <w:pStyle w:val="BodyText"/>
              <w:spacing w:line="276" w:lineRule="auto"/>
              <w:jc w:val="center"/>
            </w:pPr>
            <w:r w:rsidRPr="00035A08">
              <w:rPr>
                <w:i/>
              </w:rPr>
              <w:t>Input</w:t>
            </w:r>
          </w:p>
        </w:tc>
      </w:tr>
      <w:tr w:rsidR="00ED71B2" w14:paraId="087B6D62" w14:textId="77777777" w:rsidTr="00ED71B2">
        <w:tc>
          <w:tcPr>
            <w:tcW w:w="1170" w:type="dxa"/>
            <w:tcBorders>
              <w:right w:val="nil"/>
            </w:tcBorders>
            <w:shd w:val="clear" w:color="auto" w:fill="auto"/>
          </w:tcPr>
          <w:p w14:paraId="43E7DCC7" w14:textId="77777777" w:rsidR="00ED71B2" w:rsidRPr="00035A08" w:rsidRDefault="00ED71B2" w:rsidP="00E22B98">
            <w:pPr>
              <w:pStyle w:val="BodyText"/>
              <w:spacing w:line="276" w:lineRule="auto"/>
              <w:jc w:val="center"/>
              <w:rPr>
                <w:b/>
                <w:bCs/>
              </w:rPr>
            </w:pPr>
            <w:r w:rsidRPr="00035A08">
              <w:rPr>
                <w:b/>
                <w:bCs/>
              </w:rPr>
              <w:t>F</w:t>
            </w:r>
          </w:p>
        </w:tc>
        <w:tc>
          <w:tcPr>
            <w:tcW w:w="3942" w:type="dxa"/>
            <w:tcBorders>
              <w:left w:val="nil"/>
              <w:right w:val="nil"/>
            </w:tcBorders>
            <w:shd w:val="clear" w:color="auto" w:fill="auto"/>
          </w:tcPr>
          <w:p w14:paraId="310D900A" w14:textId="77777777" w:rsidR="00ED71B2" w:rsidRDefault="00ED71B2" w:rsidP="00E22B98">
            <w:pPr>
              <w:pStyle w:val="BodyText"/>
              <w:spacing w:line="276" w:lineRule="auto"/>
              <w:jc w:val="center"/>
            </w:pPr>
            <w:r>
              <w:t>Commercial Off-Peak Sales</w:t>
            </w:r>
          </w:p>
        </w:tc>
        <w:tc>
          <w:tcPr>
            <w:tcW w:w="2898" w:type="dxa"/>
            <w:tcBorders>
              <w:left w:val="nil"/>
            </w:tcBorders>
            <w:shd w:val="clear" w:color="auto" w:fill="auto"/>
          </w:tcPr>
          <w:p w14:paraId="705BAFFD" w14:textId="77777777" w:rsidR="00ED71B2" w:rsidRPr="00EC2BD2" w:rsidRDefault="00ED71B2" w:rsidP="00E22B98">
            <w:pPr>
              <w:pStyle w:val="BodyText"/>
              <w:spacing w:line="276" w:lineRule="auto"/>
              <w:jc w:val="center"/>
              <w:rPr>
                <w:i/>
              </w:rPr>
            </w:pPr>
            <w:r>
              <w:rPr>
                <w:i/>
              </w:rPr>
              <w:t>Input</w:t>
            </w:r>
          </w:p>
        </w:tc>
      </w:tr>
      <w:tr w:rsidR="00ED71B2" w14:paraId="39F7DA17" w14:textId="77777777" w:rsidTr="00ED71B2">
        <w:tc>
          <w:tcPr>
            <w:tcW w:w="1170" w:type="dxa"/>
            <w:shd w:val="clear" w:color="auto" w:fill="D3DFEE"/>
          </w:tcPr>
          <w:p w14:paraId="021FEE72" w14:textId="77777777" w:rsidR="00ED71B2" w:rsidRPr="00035A08" w:rsidRDefault="00ED71B2" w:rsidP="00E22B98">
            <w:pPr>
              <w:pStyle w:val="BodyText"/>
              <w:spacing w:line="276" w:lineRule="auto"/>
              <w:jc w:val="center"/>
              <w:rPr>
                <w:b/>
                <w:bCs/>
              </w:rPr>
            </w:pPr>
            <w:r w:rsidRPr="00035A08">
              <w:rPr>
                <w:b/>
                <w:bCs/>
              </w:rPr>
              <w:t>G</w:t>
            </w:r>
          </w:p>
        </w:tc>
        <w:tc>
          <w:tcPr>
            <w:tcW w:w="3942" w:type="dxa"/>
            <w:shd w:val="clear" w:color="auto" w:fill="D3DFEE"/>
          </w:tcPr>
          <w:p w14:paraId="1E0B347A" w14:textId="77777777" w:rsidR="00ED71B2" w:rsidRDefault="00ED71B2" w:rsidP="00E22B98">
            <w:pPr>
              <w:pStyle w:val="BodyText"/>
              <w:spacing w:line="276" w:lineRule="auto"/>
              <w:jc w:val="center"/>
            </w:pPr>
            <w:r>
              <w:t>Average Costs of Production</w:t>
            </w:r>
          </w:p>
        </w:tc>
        <w:tc>
          <w:tcPr>
            <w:tcW w:w="2898" w:type="dxa"/>
            <w:shd w:val="clear" w:color="auto" w:fill="D3DFEE"/>
          </w:tcPr>
          <w:p w14:paraId="2EE8F47B" w14:textId="77777777" w:rsidR="00ED71B2" w:rsidRPr="00EC2BD2" w:rsidRDefault="00ED71B2" w:rsidP="00E22B98">
            <w:pPr>
              <w:pStyle w:val="BodyText"/>
              <w:spacing w:line="276" w:lineRule="auto"/>
              <w:jc w:val="center"/>
            </w:pPr>
            <w:r>
              <w:t>((A*(C+E))+(B*(D+F))/(C+E+D+F)</w:t>
            </w:r>
          </w:p>
        </w:tc>
      </w:tr>
    </w:tbl>
    <w:p w14:paraId="7476822A" w14:textId="77777777" w:rsidR="00ED71B2" w:rsidRDefault="00ED71B2" w:rsidP="00E22B98">
      <w:pPr>
        <w:spacing w:line="276" w:lineRule="auto"/>
      </w:pPr>
    </w:p>
    <w:p w14:paraId="016C6EFC" w14:textId="77777777" w:rsidR="00ED71B2" w:rsidRDefault="00ED71B2" w:rsidP="00E22B98">
      <w:pPr>
        <w:spacing w:line="276" w:lineRule="auto"/>
      </w:pPr>
      <w:r>
        <w:t xml:space="preserve">The overall costs of production for the DSM scenario and the BAU scenario are calculated for each customer class by multiplying the Average Costs of Production with the total sales for each customer class. </w:t>
      </w:r>
    </w:p>
    <w:p w14:paraId="37EA786A" w14:textId="77777777" w:rsidR="00ED71B2" w:rsidRDefault="00ED71B2" w:rsidP="00E22B98">
      <w:pPr>
        <w:spacing w:line="276" w:lineRule="auto"/>
      </w:pPr>
    </w:p>
    <w:p w14:paraId="391A3D32" w14:textId="77777777" w:rsidR="00ED71B2" w:rsidRDefault="00ED71B2" w:rsidP="00E22B98">
      <w:pPr>
        <w:spacing w:line="276" w:lineRule="auto"/>
      </w:pPr>
      <w:r>
        <w:rPr>
          <w:b/>
        </w:rPr>
        <w:t>Fixed Costs</w:t>
      </w:r>
    </w:p>
    <w:p w14:paraId="3EAA7F6E" w14:textId="7907B673" w:rsidR="00ED71B2" w:rsidRDefault="000B5588" w:rsidP="00E22B98">
      <w:pPr>
        <w:spacing w:line="276" w:lineRule="auto"/>
      </w:pPr>
      <w:r>
        <w:t>The Fixed Cost calculations</w:t>
      </w:r>
      <w:r w:rsidR="00ED71B2">
        <w:t xml:space="preserve"> determin</w:t>
      </w:r>
      <w:r w:rsidR="008C4805">
        <w:t>e</w:t>
      </w:r>
      <w:r w:rsidR="00ED71B2">
        <w:t xml:space="preserve"> the fixed cost revenue requirement</w:t>
      </w:r>
      <w:r w:rsidR="008C4805">
        <w:t>, which is the revenue requirement of energy supply that cannot be attributed to variable costs of production. The fixed cost revenue requirement categories include</w:t>
      </w:r>
      <w:r w:rsidR="00ED71B2">
        <w:t>:</w:t>
      </w:r>
    </w:p>
    <w:p w14:paraId="2DE777C1" w14:textId="77777777" w:rsidR="00ED71B2" w:rsidRDefault="00ED71B2" w:rsidP="00E22B98">
      <w:pPr>
        <w:pStyle w:val="ListParagraph"/>
        <w:numPr>
          <w:ilvl w:val="0"/>
          <w:numId w:val="4"/>
        </w:numPr>
        <w:spacing w:line="276" w:lineRule="auto"/>
      </w:pPr>
      <w:r>
        <w:t>Interest on Debt Revenue Requirement</w:t>
      </w:r>
    </w:p>
    <w:p w14:paraId="23E9E3F5" w14:textId="77777777" w:rsidR="00ED71B2" w:rsidRDefault="00ED71B2" w:rsidP="00E22B98">
      <w:pPr>
        <w:pStyle w:val="ListParagraph"/>
        <w:numPr>
          <w:ilvl w:val="0"/>
          <w:numId w:val="4"/>
        </w:numPr>
        <w:spacing w:line="276" w:lineRule="auto"/>
      </w:pPr>
      <w:r>
        <w:t>Return on Equity (ROE) Revenue Requirement</w:t>
      </w:r>
    </w:p>
    <w:p w14:paraId="5EDAF45C" w14:textId="77777777" w:rsidR="00ED71B2" w:rsidRDefault="00ED71B2" w:rsidP="00E22B98">
      <w:pPr>
        <w:pStyle w:val="ListParagraph"/>
        <w:numPr>
          <w:ilvl w:val="0"/>
          <w:numId w:val="4"/>
        </w:numPr>
        <w:spacing w:line="276" w:lineRule="auto"/>
      </w:pPr>
      <w:r>
        <w:t>Tax Revenue Requirement</w:t>
      </w:r>
    </w:p>
    <w:p w14:paraId="10DD5CC5" w14:textId="451745AF" w:rsidR="00ED71B2" w:rsidRDefault="00ED71B2" w:rsidP="00E22B98">
      <w:pPr>
        <w:pStyle w:val="ListParagraph"/>
        <w:numPr>
          <w:ilvl w:val="0"/>
          <w:numId w:val="4"/>
        </w:numPr>
        <w:spacing w:line="276" w:lineRule="auto"/>
      </w:pPr>
      <w:r>
        <w:t>Annual</w:t>
      </w:r>
      <w:r w:rsidR="00FB07F2">
        <w:t xml:space="preserve"> Fixed</w:t>
      </w:r>
      <w:r>
        <w:t xml:space="preserve"> Operations and Maintenance Costs</w:t>
      </w:r>
      <w:r w:rsidR="00D17DCF">
        <w:rPr>
          <w:rStyle w:val="FootnoteReference"/>
        </w:rPr>
        <w:footnoteReference w:id="34"/>
      </w:r>
    </w:p>
    <w:p w14:paraId="173CA1E6" w14:textId="77777777" w:rsidR="00ED71B2" w:rsidRDefault="00ED71B2" w:rsidP="00E22B98">
      <w:pPr>
        <w:pStyle w:val="ListParagraph"/>
        <w:numPr>
          <w:ilvl w:val="0"/>
          <w:numId w:val="4"/>
        </w:numPr>
        <w:spacing w:line="276" w:lineRule="auto"/>
      </w:pPr>
      <w:r>
        <w:t>Annual Depreciation Revenue Requirement</w:t>
      </w:r>
    </w:p>
    <w:p w14:paraId="0C1BAE1A" w14:textId="77777777" w:rsidR="00ED71B2" w:rsidRDefault="00ED71B2" w:rsidP="00E22B98">
      <w:pPr>
        <w:pStyle w:val="ListParagraph"/>
        <w:numPr>
          <w:ilvl w:val="0"/>
          <w:numId w:val="4"/>
        </w:numPr>
        <w:spacing w:line="276" w:lineRule="auto"/>
      </w:pPr>
      <w:r>
        <w:t>Performance Incentives (if any apply)</w:t>
      </w:r>
    </w:p>
    <w:p w14:paraId="1CF2E21B" w14:textId="77777777" w:rsidR="00ED71B2" w:rsidRDefault="00ED71B2" w:rsidP="00E22B98">
      <w:pPr>
        <w:spacing w:line="276" w:lineRule="auto"/>
      </w:pPr>
    </w:p>
    <w:p w14:paraId="2CD8E44D" w14:textId="77777777" w:rsidR="00ED71B2" w:rsidRDefault="00ED71B2" w:rsidP="00E22B98">
      <w:pPr>
        <w:spacing w:line="276" w:lineRule="auto"/>
      </w:pPr>
      <w:r>
        <w:t>The Rate Base for the given year is calculated as the Asset Basis for Depreciation minus the Total Book Depreciation Reserve and Total Tax Depreciation Reserve, to account for depreciation in asset value calculated by the utility firm.</w:t>
      </w:r>
    </w:p>
    <w:p w14:paraId="17BB242F" w14:textId="77777777" w:rsidR="00ED71B2" w:rsidRDefault="00ED71B2" w:rsidP="00E22B98">
      <w:pPr>
        <w:spacing w:line="276" w:lineRule="auto"/>
      </w:pPr>
    </w:p>
    <w:p w14:paraId="0167DA1F" w14:textId="77777777" w:rsidR="00ED71B2" w:rsidRDefault="00ED71B2" w:rsidP="00E22B98">
      <w:pPr>
        <w:spacing w:line="276" w:lineRule="auto"/>
      </w:pPr>
      <w:r>
        <w:t>The Total Book Depreciation Reserve is the sum of all Annual Depreciation on Asset (Book) Basis to-date. That is,</w:t>
      </w:r>
    </w:p>
    <w:p w14:paraId="08278FD6" w14:textId="77777777" w:rsidR="00ED71B2" w:rsidRDefault="00ED71B2" w:rsidP="00E22B98">
      <w:pPr>
        <w:spacing w:line="276" w:lineRule="auto"/>
      </w:pPr>
      <w:r>
        <w:t xml:space="preserve"> </w:t>
      </w:r>
    </w:p>
    <w:p w14:paraId="70C5BD89" w14:textId="77777777" w:rsidR="00ED71B2" w:rsidRDefault="00A57276" w:rsidP="00E22B98">
      <w:pPr>
        <w:spacing w:line="276" w:lineRule="auto"/>
      </w:pPr>
      <m:oMathPara>
        <m:oMath>
          <m:sSub>
            <m:sSubPr>
              <m:ctrlPr>
                <w:rPr>
                  <w:rFonts w:ascii="Cambria Math" w:hAnsi="Cambria Math"/>
                  <w:i/>
                </w:rPr>
              </m:ctrlPr>
            </m:sSubPr>
            <m:e>
              <m:r>
                <w:rPr>
                  <w:rFonts w:ascii="Cambria Math" w:hAnsi="Cambria Math"/>
                </w:rPr>
                <m:t>Total Book Depreciation Reserve</m:t>
              </m:r>
            </m:e>
            <m:sub>
              <m:r>
                <w:rPr>
                  <w:rFonts w:ascii="Cambria Math" w:hAnsi="Cambria Math"/>
                </w:rPr>
                <m:t>Y</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0</m:t>
              </m:r>
            </m:sub>
            <m:sup>
              <m:r>
                <w:rPr>
                  <w:rFonts w:ascii="Cambria Math" w:hAnsi="Cambria Math"/>
                </w:rPr>
                <m:t>t=Y</m:t>
              </m:r>
            </m:sup>
            <m:e>
              <m:sSub>
                <m:sSubPr>
                  <m:ctrlPr>
                    <w:rPr>
                      <w:rFonts w:ascii="Cambria Math" w:hAnsi="Cambria Math"/>
                      <w:i/>
                    </w:rPr>
                  </m:ctrlPr>
                </m:sSubPr>
                <m:e>
                  <m:r>
                    <w:rPr>
                      <w:rFonts w:ascii="Cambria Math" w:hAnsi="Cambria Math"/>
                    </w:rPr>
                    <m:t xml:space="preserve">Annual Depreciation on Asset </m:t>
                  </m:r>
                  <m:d>
                    <m:dPr>
                      <m:ctrlPr>
                        <w:rPr>
                          <w:rFonts w:ascii="Cambria Math" w:hAnsi="Cambria Math"/>
                          <w:i/>
                        </w:rPr>
                      </m:ctrlPr>
                    </m:dPr>
                    <m:e>
                      <m:r>
                        <w:rPr>
                          <w:rFonts w:ascii="Cambria Math" w:hAnsi="Cambria Math"/>
                        </w:rPr>
                        <m:t>Book</m:t>
                      </m:r>
                    </m:e>
                  </m:d>
                  <m:r>
                    <w:rPr>
                      <w:rFonts w:ascii="Cambria Math" w:hAnsi="Cambria Math"/>
                    </w:rPr>
                    <m:t>Basis</m:t>
                  </m:r>
                </m:e>
                <m:sub>
                  <m:r>
                    <w:rPr>
                      <w:rFonts w:ascii="Cambria Math" w:hAnsi="Cambria Math"/>
                    </w:rPr>
                    <m:t>t</m:t>
                  </m:r>
                </m:sub>
              </m:sSub>
            </m:e>
          </m:nary>
        </m:oMath>
      </m:oMathPara>
    </w:p>
    <w:p w14:paraId="6D053055" w14:textId="77777777" w:rsidR="00ED71B2" w:rsidRDefault="00ED71B2" w:rsidP="00E22B98">
      <w:pPr>
        <w:spacing w:line="276" w:lineRule="auto"/>
      </w:pPr>
    </w:p>
    <w:p w14:paraId="7B1C2356" w14:textId="77777777" w:rsidR="00ED71B2" w:rsidRDefault="00ED71B2" w:rsidP="00E22B98">
      <w:pPr>
        <w:spacing w:line="276" w:lineRule="auto"/>
      </w:pPr>
      <w:r>
        <w:t xml:space="preserve">Where </w:t>
      </w:r>
      <m:oMath>
        <m:r>
          <w:rPr>
            <w:rFonts w:ascii="Cambria Math" w:hAnsi="Cambria Math"/>
          </w:rPr>
          <m:t>Y</m:t>
        </m:r>
      </m:oMath>
      <w:r>
        <w:t xml:space="preserve"> is the current year.</w:t>
      </w:r>
    </w:p>
    <w:p w14:paraId="0184A131" w14:textId="77777777" w:rsidR="00ED71B2" w:rsidRDefault="00ED71B2" w:rsidP="00E22B98">
      <w:pPr>
        <w:spacing w:line="276" w:lineRule="auto"/>
      </w:pPr>
    </w:p>
    <w:p w14:paraId="58288D85" w14:textId="77777777" w:rsidR="00ED71B2" w:rsidRDefault="00ED71B2" w:rsidP="00E22B98">
      <w:pPr>
        <w:spacing w:line="276" w:lineRule="auto"/>
      </w:pPr>
      <w:r>
        <w:t>The Annual Depreciation on Asset (Book) Basis is the product of the Asset Basis for Depreciation in the given year and the Book Depreciation Rate input by the user.</w:t>
      </w:r>
    </w:p>
    <w:p w14:paraId="26CA146A" w14:textId="77777777" w:rsidR="00ED71B2" w:rsidRDefault="00ED71B2" w:rsidP="00E22B98">
      <w:pPr>
        <w:spacing w:line="276" w:lineRule="auto"/>
      </w:pPr>
    </w:p>
    <w:p w14:paraId="317DF76E" w14:textId="77777777" w:rsidR="00ED71B2" w:rsidRDefault="00ED71B2" w:rsidP="00E22B98">
      <w:pPr>
        <w:spacing w:line="276" w:lineRule="auto"/>
      </w:pPr>
      <w:r>
        <w:t>The Total Tax Depreciation Reserve is the sum of all Annual Depreciation on Tax Basis to-date. That is,</w:t>
      </w:r>
    </w:p>
    <w:p w14:paraId="488A1765" w14:textId="77777777" w:rsidR="00ED71B2" w:rsidRDefault="00A57276" w:rsidP="00E22B98">
      <w:pPr>
        <w:spacing w:line="276" w:lineRule="auto"/>
      </w:pPr>
      <m:oMathPara>
        <m:oMath>
          <m:sSub>
            <m:sSubPr>
              <m:ctrlPr>
                <w:rPr>
                  <w:rFonts w:ascii="Cambria Math" w:hAnsi="Cambria Math"/>
                  <w:i/>
                </w:rPr>
              </m:ctrlPr>
            </m:sSubPr>
            <m:e>
              <m:r>
                <w:rPr>
                  <w:rFonts w:ascii="Cambria Math" w:hAnsi="Cambria Math"/>
                </w:rPr>
                <m:t>Total Tax  Depreciation Reserve</m:t>
              </m:r>
            </m:e>
            <m:sub>
              <m:r>
                <w:rPr>
                  <w:rFonts w:ascii="Cambria Math" w:hAnsi="Cambria Math"/>
                </w:rPr>
                <m:t>Y</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0</m:t>
              </m:r>
            </m:sub>
            <m:sup>
              <m:r>
                <w:rPr>
                  <w:rFonts w:ascii="Cambria Math" w:hAnsi="Cambria Math"/>
                </w:rPr>
                <m:t>t=Y</m:t>
              </m:r>
            </m:sup>
            <m:e>
              <m:sSub>
                <m:sSubPr>
                  <m:ctrlPr>
                    <w:rPr>
                      <w:rFonts w:ascii="Cambria Math" w:hAnsi="Cambria Math"/>
                      <w:i/>
                    </w:rPr>
                  </m:ctrlPr>
                </m:sSubPr>
                <m:e>
                  <m:r>
                    <w:rPr>
                      <w:rFonts w:ascii="Cambria Math" w:hAnsi="Cambria Math"/>
                    </w:rPr>
                    <m:t>Annual Depreciation on Tax Basis</m:t>
                  </m:r>
                </m:e>
                <m:sub>
                  <m:r>
                    <w:rPr>
                      <w:rFonts w:ascii="Cambria Math" w:hAnsi="Cambria Math"/>
                    </w:rPr>
                    <m:t>t</m:t>
                  </m:r>
                </m:sub>
              </m:sSub>
            </m:e>
          </m:nary>
        </m:oMath>
      </m:oMathPara>
    </w:p>
    <w:p w14:paraId="74B04EC3" w14:textId="77777777" w:rsidR="00ED71B2" w:rsidRDefault="00ED71B2" w:rsidP="00E22B98">
      <w:pPr>
        <w:spacing w:line="276" w:lineRule="auto"/>
      </w:pPr>
      <w:r>
        <w:t>The Annual Depreciation on Tax Basis is the product of the Asset Basis for Depreciation in the given year and the Tax Depreciation Rate input by the user.</w:t>
      </w:r>
    </w:p>
    <w:p w14:paraId="2ACA7D36" w14:textId="77777777" w:rsidR="00ED71B2" w:rsidRDefault="00ED71B2" w:rsidP="00E22B98">
      <w:pPr>
        <w:spacing w:line="276" w:lineRule="auto"/>
      </w:pPr>
    </w:p>
    <w:p w14:paraId="35324986" w14:textId="77777777" w:rsidR="00ED71B2" w:rsidRDefault="00ED71B2" w:rsidP="00E22B98">
      <w:pPr>
        <w:spacing w:line="276" w:lineRule="auto"/>
      </w:pPr>
      <w:r>
        <w:t>The Asset Basis for Depreciation in a given year is the sum of the Year-Zero Rate Base and the sum of all Annual Capital Expenditure from Year Zero to the given year, as in</w:t>
      </w:r>
    </w:p>
    <w:p w14:paraId="653B6967" w14:textId="77777777" w:rsidR="00ED71B2" w:rsidRDefault="00ED71B2" w:rsidP="00E22B98">
      <w:pPr>
        <w:spacing w:line="276" w:lineRule="auto"/>
      </w:pPr>
    </w:p>
    <w:p w14:paraId="33477873" w14:textId="77777777" w:rsidR="00ED71B2" w:rsidRPr="00AD1706" w:rsidRDefault="00A57276" w:rsidP="00E22B98">
      <w:pPr>
        <w:spacing w:line="276" w:lineRule="auto"/>
      </w:pPr>
      <m:oMathPara>
        <m:oMath>
          <m:sSub>
            <m:sSubPr>
              <m:ctrlPr>
                <w:rPr>
                  <w:rFonts w:ascii="Cambria Math" w:hAnsi="Cambria Math"/>
                  <w:i/>
                </w:rPr>
              </m:ctrlPr>
            </m:sSubPr>
            <m:e>
              <m:r>
                <w:rPr>
                  <w:rFonts w:ascii="Cambria Math" w:hAnsi="Cambria Math"/>
                </w:rPr>
                <m:t>Asset Basis for Depreciation</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Rate Base</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0</m:t>
              </m:r>
            </m:sub>
            <m:sup>
              <m:r>
                <w:rPr>
                  <w:rFonts w:ascii="Cambria Math" w:hAnsi="Cambria Math"/>
                </w:rPr>
                <m:t>t=Y</m:t>
              </m:r>
            </m:sup>
            <m:e>
              <m:sSub>
                <m:sSubPr>
                  <m:ctrlPr>
                    <w:rPr>
                      <w:rFonts w:ascii="Cambria Math" w:hAnsi="Cambria Math"/>
                      <w:i/>
                    </w:rPr>
                  </m:ctrlPr>
                </m:sSubPr>
                <m:e>
                  <m:r>
                    <w:rPr>
                      <w:rFonts w:ascii="Cambria Math" w:hAnsi="Cambria Math"/>
                    </w:rPr>
                    <m:t>Annual Capital Expenditure</m:t>
                  </m:r>
                </m:e>
                <m:sub>
                  <m:r>
                    <w:rPr>
                      <w:rFonts w:ascii="Cambria Math" w:hAnsi="Cambria Math"/>
                    </w:rPr>
                    <m:t>t</m:t>
                  </m:r>
                </m:sub>
              </m:sSub>
            </m:e>
          </m:nary>
        </m:oMath>
      </m:oMathPara>
    </w:p>
    <w:p w14:paraId="57E49A0F" w14:textId="77777777" w:rsidR="00ED71B2" w:rsidRDefault="00ED71B2" w:rsidP="00E22B98">
      <w:pPr>
        <w:spacing w:line="276" w:lineRule="auto"/>
      </w:pPr>
      <w:r>
        <w:t xml:space="preserve">Where </w:t>
      </w:r>
      <m:oMath>
        <m:sSub>
          <m:sSubPr>
            <m:ctrlPr>
              <w:rPr>
                <w:rFonts w:ascii="Cambria Math" w:hAnsi="Cambria Math"/>
                <w:i/>
              </w:rPr>
            </m:ctrlPr>
          </m:sSubPr>
          <m:e>
            <m:r>
              <w:rPr>
                <w:rFonts w:ascii="Cambria Math" w:hAnsi="Cambria Math"/>
              </w:rPr>
              <m:t>Rate Base</m:t>
            </m:r>
          </m:e>
          <m:sub>
            <m:r>
              <w:rPr>
                <w:rFonts w:ascii="Cambria Math" w:hAnsi="Cambria Math"/>
              </w:rPr>
              <m:t>0</m:t>
            </m:r>
          </m:sub>
        </m:sSub>
      </m:oMath>
      <w:r>
        <w:t xml:space="preserve"> is the initial Rate Base input by the user, </w:t>
      </w:r>
      <m:oMath>
        <m:sSub>
          <m:sSubPr>
            <m:ctrlPr>
              <w:rPr>
                <w:rFonts w:ascii="Cambria Math" w:hAnsi="Cambria Math"/>
                <w:i/>
              </w:rPr>
            </m:ctrlPr>
          </m:sSubPr>
          <m:e>
            <m:r>
              <w:rPr>
                <w:rFonts w:ascii="Cambria Math" w:hAnsi="Cambria Math"/>
              </w:rPr>
              <m:t>Annual Capital Expenditure</m:t>
            </m:r>
          </m:e>
          <m:sub>
            <m:r>
              <w:rPr>
                <w:rFonts w:ascii="Cambria Math" w:hAnsi="Cambria Math"/>
              </w:rPr>
              <m:t>t</m:t>
            </m:r>
          </m:sub>
        </m:sSub>
      </m:oMath>
      <w:r>
        <w:t xml:space="preserve"> is the capital expenditure in year </w:t>
      </w:r>
      <m:oMath>
        <m:r>
          <w:rPr>
            <w:rFonts w:ascii="Cambria Math" w:hAnsi="Cambria Math"/>
          </w:rPr>
          <m:t>t</m:t>
        </m:r>
      </m:oMath>
      <w:r>
        <w:t xml:space="preserve">, and </w:t>
      </w:r>
      <m:oMath>
        <m:r>
          <w:rPr>
            <w:rFonts w:ascii="Cambria Math" w:hAnsi="Cambria Math"/>
          </w:rPr>
          <m:t>Y</m:t>
        </m:r>
      </m:oMath>
      <w:r>
        <w:t xml:space="preserve"> is the current year. </w:t>
      </w:r>
    </w:p>
    <w:p w14:paraId="77F719D2" w14:textId="77777777" w:rsidR="00ED71B2" w:rsidRDefault="00ED71B2" w:rsidP="00E22B98">
      <w:pPr>
        <w:spacing w:line="276" w:lineRule="auto"/>
      </w:pPr>
    </w:p>
    <w:p w14:paraId="5DA68E77" w14:textId="77777777" w:rsidR="00ED71B2" w:rsidRDefault="00ED71B2" w:rsidP="00E22B98">
      <w:pPr>
        <w:spacing w:line="276" w:lineRule="auto"/>
      </w:pPr>
      <w:r>
        <w:t>Annual Capital Expenditure is calculated as a combination of two factors: (1) a growth-forecast of the Year-Zero Annual Capital Expenditure input by the user, and (2) the sum of major capital investments in the given year according to the capital investments input by the user. This is expressed as</w:t>
      </w:r>
    </w:p>
    <w:p w14:paraId="59B44AC3" w14:textId="77777777" w:rsidR="00ED71B2" w:rsidRDefault="00ED71B2" w:rsidP="00E22B98">
      <w:pPr>
        <w:spacing w:line="276" w:lineRule="auto"/>
      </w:pPr>
    </w:p>
    <w:p w14:paraId="74A50B61" w14:textId="77777777" w:rsidR="00ED71B2" w:rsidRDefault="00A57276" w:rsidP="00E22B98">
      <w:pPr>
        <w:spacing w:line="276" w:lineRule="auto"/>
      </w:pPr>
      <m:oMathPara>
        <m:oMath>
          <m:sSub>
            <m:sSubPr>
              <m:ctrlPr>
                <w:rPr>
                  <w:rFonts w:ascii="Cambria Math" w:hAnsi="Cambria Math"/>
                  <w:i/>
                </w:rPr>
              </m:ctrlPr>
            </m:sSubPr>
            <m:e>
              <m:r>
                <w:rPr>
                  <w:rFonts w:ascii="Cambria Math" w:hAnsi="Cambria Math"/>
                </w:rPr>
                <m:t>Annual Capital Expenditure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Annual Capital Expenditure</m:t>
              </m:r>
            </m:e>
            <m:sub>
              <m:r>
                <w:rPr>
                  <w:rFonts w:ascii="Cambria Math" w:hAnsi="Cambria Math"/>
                </w:rPr>
                <m:t>Y-1</m:t>
              </m:r>
            </m:sub>
          </m:sSub>
          <m:r>
            <w:rPr>
              <w:rFonts w:ascii="Cambria Math" w:hAnsi="Cambria Math"/>
            </w:rPr>
            <m:t>*</m:t>
          </m:r>
          <m:d>
            <m:dPr>
              <m:ctrlPr>
                <w:rPr>
                  <w:rFonts w:ascii="Cambria Math" w:hAnsi="Cambria Math"/>
                  <w:i/>
                </w:rPr>
              </m:ctrlPr>
            </m:dPr>
            <m:e>
              <m:r>
                <w:rPr>
                  <w:rFonts w:ascii="Cambria Math" w:hAnsi="Cambria Math"/>
                </w:rPr>
                <m:t>1+Capital Expenditure Growth Rate</m:t>
              </m:r>
            </m:e>
          </m:d>
          <m:r>
            <w:rPr>
              <w:rFonts w:ascii="Cambria Math" w:hAnsi="Cambria Math"/>
            </w:rPr>
            <m:t>+</m:t>
          </m:r>
          <m:nary>
            <m:naryPr>
              <m:chr m:val="∑"/>
              <m:limLoc m:val="undOvr"/>
              <m:ctrlPr>
                <w:rPr>
                  <w:rFonts w:ascii="Cambria Math" w:hAnsi="Cambria Math"/>
                  <w:i/>
                </w:rPr>
              </m:ctrlPr>
            </m:naryPr>
            <m:sub>
              <m:r>
                <w:rPr>
                  <w:rFonts w:ascii="Cambria Math" w:hAnsi="Cambria Math"/>
                </w:rPr>
                <m:t>A</m:t>
              </m:r>
            </m:sub>
            <m:sup>
              <m:r>
                <w:rPr>
                  <w:rFonts w:ascii="Cambria Math" w:hAnsi="Cambria Math"/>
                </w:rPr>
                <m:t>i=E</m:t>
              </m:r>
            </m:sup>
            <m:e>
              <m:sSub>
                <m:sSubPr>
                  <m:ctrlPr>
                    <w:rPr>
                      <w:rFonts w:ascii="Cambria Math" w:hAnsi="Cambria Math"/>
                      <w:i/>
                    </w:rPr>
                  </m:ctrlPr>
                </m:sSubPr>
                <m:e>
                  <m:r>
                    <w:rPr>
                      <w:rFonts w:ascii="Cambria Math" w:hAnsi="Cambria Math"/>
                    </w:rPr>
                    <m:t>Annual Capital Investment</m:t>
                  </m:r>
                </m:e>
                <m:sub>
                  <m:r>
                    <w:rPr>
                      <w:rFonts w:ascii="Cambria Math" w:hAnsi="Cambria Math"/>
                    </w:rPr>
                    <m:t>i</m:t>
                  </m:r>
                </m:sub>
              </m:sSub>
            </m:e>
          </m:nary>
        </m:oMath>
      </m:oMathPara>
    </w:p>
    <w:p w14:paraId="7AB281B2" w14:textId="77777777" w:rsidR="00ED71B2" w:rsidRDefault="00ED71B2" w:rsidP="00E22B98">
      <w:pPr>
        <w:spacing w:line="276" w:lineRule="auto"/>
      </w:pPr>
      <w:r>
        <w:t xml:space="preserve">Where </w:t>
      </w:r>
      <m:oMath>
        <m:r>
          <w:rPr>
            <w:rFonts w:ascii="Cambria Math" w:hAnsi="Cambria Math"/>
          </w:rPr>
          <m:t>i=A, B, C, D, E</m:t>
        </m:r>
      </m:oMath>
      <w:r>
        <w:t xml:space="preserve"> is the index of all capital investment projects input by the user (see Capital Investment Deferral sub-module under Utility Sector). Capital Expenditure Growth Rate is input by the user.</w:t>
      </w:r>
    </w:p>
    <w:p w14:paraId="2D267470" w14:textId="77777777" w:rsidR="00ED71B2" w:rsidRDefault="00ED71B2" w:rsidP="00E22B98">
      <w:pPr>
        <w:spacing w:line="276" w:lineRule="auto"/>
      </w:pPr>
    </w:p>
    <w:p w14:paraId="374DC062" w14:textId="77777777" w:rsidR="00ED71B2" w:rsidRDefault="00ED71B2" w:rsidP="00E22B98">
      <w:pPr>
        <w:spacing w:line="276" w:lineRule="auto"/>
      </w:pPr>
      <w:r>
        <w:t>The Annual Debt of the utility is calculated as the Rate Base of the given year times the Percent Debt input by the user in the Utility Sector. The Annual Equity is calculated as the Rate Base of the given year times the Percent Equity input by the user in the Utility Sector.</w:t>
      </w:r>
    </w:p>
    <w:p w14:paraId="3CDA4552" w14:textId="77777777" w:rsidR="00ED71B2" w:rsidRDefault="00ED71B2" w:rsidP="00E22B98">
      <w:pPr>
        <w:spacing w:line="276" w:lineRule="auto"/>
      </w:pPr>
    </w:p>
    <w:p w14:paraId="1CA22CD7" w14:textId="77777777" w:rsidR="00ED71B2" w:rsidRDefault="00ED71B2" w:rsidP="00E22B98">
      <w:pPr>
        <w:spacing w:line="276" w:lineRule="auto"/>
      </w:pPr>
      <w:r>
        <w:t xml:space="preserve">The Annual Interest Revenue Requirement is calculated as the Annual Debt of the utility times the Cost of Debt input by the user in the Utility Sector. The Annual ROE Revenue Requirement is calculated as the Annual Equity times the Target ROE input by the user. </w:t>
      </w:r>
    </w:p>
    <w:p w14:paraId="149EE39D" w14:textId="77777777" w:rsidR="00ED71B2" w:rsidRDefault="00ED71B2" w:rsidP="00E22B98">
      <w:pPr>
        <w:spacing w:line="276" w:lineRule="auto"/>
      </w:pPr>
    </w:p>
    <w:p w14:paraId="2E8EB7A8" w14:textId="77777777" w:rsidR="00ED71B2" w:rsidRDefault="00ED71B2" w:rsidP="00E22B98">
      <w:pPr>
        <w:spacing w:line="276" w:lineRule="auto"/>
      </w:pPr>
      <w:r>
        <w:t>The Tax Revenue Requirement is calculated as follows:</w:t>
      </w:r>
    </w:p>
    <w:p w14:paraId="342875A8" w14:textId="77777777" w:rsidR="00ED71B2" w:rsidRDefault="00ED71B2" w:rsidP="00E22B98">
      <w:pPr>
        <w:spacing w:line="276" w:lineRule="auto"/>
      </w:pPr>
    </w:p>
    <w:p w14:paraId="0F368EC4" w14:textId="77777777" w:rsidR="00ED71B2" w:rsidRDefault="00A57276" w:rsidP="00E22B98">
      <w:pPr>
        <w:spacing w:line="276" w:lineRule="auto"/>
      </w:pPr>
      <m:oMathPara>
        <m:oMath>
          <m:sSub>
            <m:sSubPr>
              <m:ctrlPr>
                <w:rPr>
                  <w:rFonts w:ascii="Cambria Math" w:hAnsi="Cambria Math"/>
                  <w:i/>
                </w:rPr>
              </m:ctrlPr>
            </m:sSubPr>
            <m:e>
              <m:r>
                <w:rPr>
                  <w:rFonts w:ascii="Cambria Math" w:hAnsi="Cambria Math"/>
                </w:rPr>
                <m:t>Tax Revenue Requirement</m:t>
              </m:r>
            </m:e>
            <m:sub>
              <m:r>
                <w:rPr>
                  <w:rFonts w:ascii="Cambria Math" w:hAnsi="Cambria Math"/>
                </w:rPr>
                <m:t>t</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Return on Equity Revenue Requirement</m:t>
                      </m:r>
                    </m:e>
                    <m:sub>
                      <m:r>
                        <w:rPr>
                          <w:rFonts w:ascii="Cambria Math" w:hAnsi="Cambria Math"/>
                        </w:rPr>
                        <m:t>t</m:t>
                      </m:r>
                    </m:sub>
                  </m:sSub>
                </m:num>
                <m:den>
                  <m:r>
                    <w:rPr>
                      <w:rFonts w:ascii="Cambria Math" w:hAnsi="Cambria Math"/>
                    </w:rPr>
                    <m:t>1-Effective Income Tax Rate</m:t>
                  </m:r>
                </m:den>
              </m:f>
            </m:e>
          </m:d>
          <m:r>
            <w:rPr>
              <w:rFonts w:ascii="Cambria Math" w:hAnsi="Cambria Math"/>
            </w:rPr>
            <m:t>-</m:t>
          </m:r>
          <m:sSub>
            <m:sSubPr>
              <m:ctrlPr>
                <w:rPr>
                  <w:rFonts w:ascii="Cambria Math" w:hAnsi="Cambria Math"/>
                  <w:i/>
                </w:rPr>
              </m:ctrlPr>
            </m:sSubPr>
            <m:e>
              <m:r>
                <w:rPr>
                  <w:rFonts w:ascii="Cambria Math" w:hAnsi="Cambria Math"/>
                </w:rPr>
                <m:t>Return on Equity Revenue Requirement</m:t>
              </m:r>
            </m:e>
            <m:sub>
              <m:r>
                <w:rPr>
                  <w:rFonts w:ascii="Cambria Math" w:hAnsi="Cambria Math"/>
                </w:rPr>
                <m:t>t</m:t>
              </m:r>
            </m:sub>
          </m:sSub>
        </m:oMath>
      </m:oMathPara>
    </w:p>
    <w:p w14:paraId="3B0FBBC9" w14:textId="77777777" w:rsidR="00ED71B2" w:rsidRDefault="00ED71B2" w:rsidP="00E22B98">
      <w:pPr>
        <w:spacing w:line="276" w:lineRule="auto"/>
      </w:pPr>
    </w:p>
    <w:p w14:paraId="65A3EBE7" w14:textId="77777777" w:rsidR="00ED71B2" w:rsidRDefault="00ED71B2" w:rsidP="00E22B98">
      <w:pPr>
        <w:spacing w:line="276" w:lineRule="auto"/>
      </w:pPr>
      <w:r>
        <w:t>The Annual Operations and Maintenance Expenditure is calculated via a growth formula analogous to that used for sales, making use of the user’s inputs for year-zero Operations and Maintenance Expenditure and the growth rate for Operations and Maintenance Expenditure.</w:t>
      </w:r>
    </w:p>
    <w:p w14:paraId="5C9DED9C" w14:textId="77777777" w:rsidR="00ED71B2" w:rsidRDefault="00ED71B2" w:rsidP="00E22B98">
      <w:pPr>
        <w:spacing w:line="276" w:lineRule="auto"/>
      </w:pPr>
    </w:p>
    <w:p w14:paraId="31B15AB5" w14:textId="77777777" w:rsidR="00ED71B2" w:rsidRDefault="00ED71B2" w:rsidP="00E22B98">
      <w:pPr>
        <w:spacing w:line="276" w:lineRule="auto"/>
      </w:pPr>
      <w:r>
        <w:t>The Residential Fixed Cost Revenue Requirements are calculated by multiplying the overall Fixed Cost Revenue Requirements by the Rate Class’s Share of Fixed Costs input by the user in the Residential Sector.</w:t>
      </w:r>
    </w:p>
    <w:p w14:paraId="7BF18DD8" w14:textId="77777777" w:rsidR="00ED71B2" w:rsidRDefault="00ED71B2" w:rsidP="00E22B98">
      <w:pPr>
        <w:spacing w:line="276" w:lineRule="auto"/>
      </w:pPr>
    </w:p>
    <w:p w14:paraId="7CDB8B3B" w14:textId="77777777" w:rsidR="00ED71B2" w:rsidRDefault="00ED71B2" w:rsidP="00E22B98">
      <w:pPr>
        <w:spacing w:line="276" w:lineRule="auto"/>
      </w:pPr>
      <w:r>
        <w:t>The Commercial Fixed Cost Revenue Requirements are calculated by multiplying the overall Fixed Cost Revenue Requirements by the Rate Class’s Share of Fixed Costs input by the user in the Commercial Sector.</w:t>
      </w:r>
    </w:p>
    <w:p w14:paraId="0D7948B4" w14:textId="77777777" w:rsidR="00ED71B2" w:rsidRDefault="00ED71B2" w:rsidP="00E22B98">
      <w:pPr>
        <w:spacing w:line="276" w:lineRule="auto"/>
      </w:pPr>
    </w:p>
    <w:p w14:paraId="00E6D505" w14:textId="2E5905C5" w:rsidR="00ED71B2" w:rsidRDefault="008A617C" w:rsidP="00E22B98">
      <w:pPr>
        <w:spacing w:line="276" w:lineRule="auto"/>
      </w:pPr>
      <w:r>
        <w:rPr>
          <w:b/>
        </w:rPr>
        <w:t xml:space="preserve">Utility Annual Operating Expenses </w:t>
      </w:r>
    </w:p>
    <w:p w14:paraId="3286DA10" w14:textId="77777777" w:rsidR="00ED71B2" w:rsidRDefault="00ED71B2" w:rsidP="00E22B98">
      <w:pPr>
        <w:spacing w:line="276" w:lineRule="auto"/>
      </w:pPr>
      <w:r>
        <w:t>The Utility Costs are calculated for the DSM case and BAU case separately as the sum of Variable Costs – the Total Costs of Production (see Variable Costs sub-heading above) – and Fixed Costs, which is the sum of the Annual Interest on Debt, the Annual Operations and Maintenance Costs, and the Annual Depreciation Revenue Requirement.</w:t>
      </w:r>
    </w:p>
    <w:p w14:paraId="7A6868F5" w14:textId="77777777" w:rsidR="00ED71B2" w:rsidRDefault="00ED71B2" w:rsidP="00E22B98">
      <w:pPr>
        <w:spacing w:line="276" w:lineRule="auto"/>
        <w:jc w:val="right"/>
      </w:pPr>
    </w:p>
    <w:p w14:paraId="128F7FD9" w14:textId="77777777" w:rsidR="00ED71B2" w:rsidRDefault="00ED71B2" w:rsidP="00E22B98">
      <w:pPr>
        <w:spacing w:line="276" w:lineRule="auto"/>
      </w:pPr>
      <w:r>
        <w:rPr>
          <w:b/>
        </w:rPr>
        <w:t>Return on Equity</w:t>
      </w:r>
    </w:p>
    <w:p w14:paraId="262854DE" w14:textId="77777777" w:rsidR="00ED71B2" w:rsidRDefault="00ED71B2" w:rsidP="00E22B98">
      <w:pPr>
        <w:spacing w:line="276" w:lineRule="auto"/>
      </w:pPr>
      <w:r>
        <w:t>The After-Tax Earnings are calculated for the DSM case and BAU case separately as follows:</w:t>
      </w:r>
    </w:p>
    <w:p w14:paraId="744C827D" w14:textId="77777777" w:rsidR="00ED71B2" w:rsidRDefault="00ED71B2" w:rsidP="00E22B98">
      <w:pPr>
        <w:spacing w:line="276" w:lineRule="auto"/>
      </w:pPr>
    </w:p>
    <w:tbl>
      <w:tblPr>
        <w:tblW w:w="8550" w:type="dxa"/>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3600"/>
        <w:gridCol w:w="3780"/>
      </w:tblGrid>
      <w:tr w:rsidR="00ED71B2" w14:paraId="0E64713B" w14:textId="77777777" w:rsidTr="00ED71B2">
        <w:tc>
          <w:tcPr>
            <w:tcW w:w="1170" w:type="dxa"/>
            <w:tcBorders>
              <w:top w:val="single" w:sz="8" w:space="0" w:color="7BA0CD"/>
              <w:left w:val="single" w:sz="8" w:space="0" w:color="7BA0CD"/>
              <w:bottom w:val="single" w:sz="8" w:space="0" w:color="7BA0CD"/>
              <w:right w:val="nil"/>
            </w:tcBorders>
            <w:shd w:val="clear" w:color="auto" w:fill="4F81BD"/>
            <w:vAlign w:val="center"/>
          </w:tcPr>
          <w:p w14:paraId="3636FE4E" w14:textId="77777777" w:rsidR="00ED71B2" w:rsidRPr="00035A08" w:rsidRDefault="00ED71B2" w:rsidP="00E22B98">
            <w:pPr>
              <w:spacing w:line="276" w:lineRule="auto"/>
              <w:jc w:val="center"/>
              <w:rPr>
                <w:b/>
                <w:bCs/>
                <w:color w:val="FFFFFF"/>
              </w:rPr>
            </w:pPr>
          </w:p>
        </w:tc>
        <w:tc>
          <w:tcPr>
            <w:tcW w:w="3600" w:type="dxa"/>
            <w:tcBorders>
              <w:top w:val="single" w:sz="8" w:space="0" w:color="7BA0CD"/>
              <w:left w:val="nil"/>
              <w:bottom w:val="single" w:sz="8" w:space="0" w:color="7BA0CD"/>
              <w:right w:val="nil"/>
            </w:tcBorders>
            <w:shd w:val="clear" w:color="auto" w:fill="4F81BD"/>
            <w:vAlign w:val="center"/>
          </w:tcPr>
          <w:p w14:paraId="76C6CAC7" w14:textId="77777777" w:rsidR="00ED71B2" w:rsidRPr="00035A08" w:rsidRDefault="00ED71B2" w:rsidP="00E22B98">
            <w:pPr>
              <w:spacing w:line="276" w:lineRule="auto"/>
              <w:jc w:val="center"/>
              <w:rPr>
                <w:b/>
                <w:bCs/>
                <w:color w:val="FFFFFF"/>
              </w:rPr>
            </w:pPr>
            <w:r w:rsidRPr="00035A08">
              <w:rPr>
                <w:b/>
                <w:bCs/>
                <w:color w:val="FFFFFF"/>
              </w:rPr>
              <w:t>Name</w:t>
            </w:r>
          </w:p>
        </w:tc>
        <w:tc>
          <w:tcPr>
            <w:tcW w:w="3780" w:type="dxa"/>
            <w:tcBorders>
              <w:top w:val="single" w:sz="8" w:space="0" w:color="7BA0CD"/>
              <w:left w:val="nil"/>
              <w:bottom w:val="single" w:sz="8" w:space="0" w:color="7BA0CD"/>
              <w:right w:val="single" w:sz="8" w:space="0" w:color="7BA0CD"/>
            </w:tcBorders>
            <w:shd w:val="clear" w:color="auto" w:fill="4F81BD"/>
            <w:vAlign w:val="center"/>
          </w:tcPr>
          <w:p w14:paraId="435E2955" w14:textId="77777777" w:rsidR="00ED71B2" w:rsidRPr="00035A08" w:rsidRDefault="00ED71B2" w:rsidP="00E22B98">
            <w:pPr>
              <w:spacing w:line="276" w:lineRule="auto"/>
              <w:jc w:val="center"/>
              <w:rPr>
                <w:b/>
                <w:bCs/>
                <w:color w:val="FFFFFF"/>
              </w:rPr>
            </w:pPr>
            <w:r w:rsidRPr="00035A08">
              <w:rPr>
                <w:b/>
                <w:bCs/>
                <w:color w:val="FFFFFF"/>
              </w:rPr>
              <w:t>Calculation</w:t>
            </w:r>
          </w:p>
        </w:tc>
      </w:tr>
      <w:tr w:rsidR="00ED71B2" w14:paraId="412E9042" w14:textId="77777777" w:rsidTr="00ED71B2">
        <w:tc>
          <w:tcPr>
            <w:tcW w:w="1170" w:type="dxa"/>
            <w:tcBorders>
              <w:right w:val="nil"/>
            </w:tcBorders>
            <w:shd w:val="clear" w:color="auto" w:fill="D3DFEE"/>
            <w:vAlign w:val="center"/>
          </w:tcPr>
          <w:p w14:paraId="3E58A59F" w14:textId="77777777" w:rsidR="00ED71B2" w:rsidRPr="00035A08" w:rsidRDefault="00ED71B2" w:rsidP="00E22B98">
            <w:pPr>
              <w:spacing w:line="276" w:lineRule="auto"/>
              <w:jc w:val="center"/>
              <w:rPr>
                <w:b/>
                <w:bCs/>
              </w:rPr>
            </w:pPr>
            <w:r w:rsidRPr="00035A08">
              <w:rPr>
                <w:b/>
                <w:bCs/>
              </w:rPr>
              <w:t>A</w:t>
            </w:r>
          </w:p>
        </w:tc>
        <w:tc>
          <w:tcPr>
            <w:tcW w:w="3600" w:type="dxa"/>
            <w:tcBorders>
              <w:left w:val="nil"/>
              <w:right w:val="nil"/>
            </w:tcBorders>
            <w:shd w:val="clear" w:color="auto" w:fill="D3DFEE"/>
            <w:vAlign w:val="center"/>
          </w:tcPr>
          <w:p w14:paraId="69D69FA6" w14:textId="77777777" w:rsidR="00ED71B2" w:rsidRDefault="00ED71B2" w:rsidP="00E22B98">
            <w:pPr>
              <w:spacing w:line="276" w:lineRule="auto"/>
              <w:jc w:val="center"/>
            </w:pPr>
            <w:r>
              <w:t>Residential Sales</w:t>
            </w:r>
          </w:p>
        </w:tc>
        <w:tc>
          <w:tcPr>
            <w:tcW w:w="3780" w:type="dxa"/>
            <w:tcBorders>
              <w:left w:val="nil"/>
            </w:tcBorders>
            <w:shd w:val="clear" w:color="auto" w:fill="D3DFEE"/>
            <w:vAlign w:val="center"/>
          </w:tcPr>
          <w:p w14:paraId="69B789CE" w14:textId="77777777" w:rsidR="00ED71B2" w:rsidRPr="00FB5C05" w:rsidRDefault="00ED71B2" w:rsidP="00E22B98">
            <w:pPr>
              <w:spacing w:line="276" w:lineRule="auto"/>
              <w:jc w:val="center"/>
              <w:rPr>
                <w:i/>
              </w:rPr>
            </w:pPr>
            <w:r>
              <w:rPr>
                <w:i/>
              </w:rPr>
              <w:t>Calculated by Model</w:t>
            </w:r>
          </w:p>
        </w:tc>
      </w:tr>
      <w:tr w:rsidR="00ED71B2" w14:paraId="3BCA2773" w14:textId="77777777" w:rsidTr="00ED71B2">
        <w:tc>
          <w:tcPr>
            <w:tcW w:w="1170" w:type="dxa"/>
            <w:tcBorders>
              <w:right w:val="nil"/>
            </w:tcBorders>
            <w:shd w:val="clear" w:color="auto" w:fill="auto"/>
            <w:vAlign w:val="center"/>
          </w:tcPr>
          <w:p w14:paraId="32610773" w14:textId="77777777" w:rsidR="00ED71B2" w:rsidRPr="00035A08" w:rsidRDefault="00ED71B2" w:rsidP="00E22B98">
            <w:pPr>
              <w:spacing w:line="276" w:lineRule="auto"/>
              <w:jc w:val="center"/>
              <w:rPr>
                <w:b/>
                <w:bCs/>
              </w:rPr>
            </w:pPr>
            <w:r w:rsidRPr="00035A08">
              <w:rPr>
                <w:b/>
                <w:bCs/>
              </w:rPr>
              <w:t>B</w:t>
            </w:r>
          </w:p>
        </w:tc>
        <w:tc>
          <w:tcPr>
            <w:tcW w:w="3600" w:type="dxa"/>
            <w:tcBorders>
              <w:left w:val="nil"/>
              <w:right w:val="nil"/>
            </w:tcBorders>
            <w:shd w:val="clear" w:color="auto" w:fill="auto"/>
            <w:vAlign w:val="center"/>
          </w:tcPr>
          <w:p w14:paraId="4F678797" w14:textId="77777777" w:rsidR="00ED71B2" w:rsidRDefault="00ED71B2" w:rsidP="00E22B98">
            <w:pPr>
              <w:spacing w:line="276" w:lineRule="auto"/>
              <w:jc w:val="center"/>
            </w:pPr>
            <w:r>
              <w:t>Commercial Sales</w:t>
            </w:r>
          </w:p>
        </w:tc>
        <w:tc>
          <w:tcPr>
            <w:tcW w:w="3780" w:type="dxa"/>
            <w:tcBorders>
              <w:left w:val="nil"/>
            </w:tcBorders>
            <w:shd w:val="clear" w:color="auto" w:fill="auto"/>
            <w:vAlign w:val="center"/>
          </w:tcPr>
          <w:p w14:paraId="51C98A44" w14:textId="77777777" w:rsidR="00ED71B2" w:rsidRDefault="00ED71B2" w:rsidP="00E22B98">
            <w:pPr>
              <w:spacing w:line="276" w:lineRule="auto"/>
              <w:jc w:val="center"/>
            </w:pPr>
            <w:r>
              <w:rPr>
                <w:i/>
              </w:rPr>
              <w:t>Calculated by Model</w:t>
            </w:r>
          </w:p>
        </w:tc>
      </w:tr>
      <w:tr w:rsidR="00ED71B2" w14:paraId="64756416" w14:textId="77777777" w:rsidTr="00ED71B2">
        <w:tc>
          <w:tcPr>
            <w:tcW w:w="1170" w:type="dxa"/>
            <w:tcBorders>
              <w:right w:val="nil"/>
            </w:tcBorders>
            <w:shd w:val="clear" w:color="auto" w:fill="D3DFEE"/>
            <w:vAlign w:val="center"/>
          </w:tcPr>
          <w:p w14:paraId="55582AF6" w14:textId="77777777" w:rsidR="00ED71B2" w:rsidRPr="00035A08" w:rsidRDefault="00ED71B2" w:rsidP="00E22B98">
            <w:pPr>
              <w:spacing w:line="276" w:lineRule="auto"/>
              <w:jc w:val="center"/>
              <w:rPr>
                <w:b/>
                <w:bCs/>
              </w:rPr>
            </w:pPr>
            <w:r w:rsidRPr="00035A08">
              <w:rPr>
                <w:b/>
                <w:bCs/>
              </w:rPr>
              <w:t>C</w:t>
            </w:r>
          </w:p>
        </w:tc>
        <w:tc>
          <w:tcPr>
            <w:tcW w:w="3600" w:type="dxa"/>
            <w:tcBorders>
              <w:left w:val="nil"/>
              <w:right w:val="nil"/>
            </w:tcBorders>
            <w:shd w:val="clear" w:color="auto" w:fill="D3DFEE"/>
            <w:vAlign w:val="center"/>
          </w:tcPr>
          <w:p w14:paraId="32750472" w14:textId="77777777" w:rsidR="00ED71B2" w:rsidRDefault="00ED71B2" w:rsidP="00E22B98">
            <w:pPr>
              <w:spacing w:line="276" w:lineRule="auto"/>
              <w:jc w:val="center"/>
            </w:pPr>
            <w:r>
              <w:t>Residential Energy Rate</w:t>
            </w:r>
          </w:p>
        </w:tc>
        <w:tc>
          <w:tcPr>
            <w:tcW w:w="3780" w:type="dxa"/>
            <w:tcBorders>
              <w:left w:val="nil"/>
            </w:tcBorders>
            <w:shd w:val="clear" w:color="auto" w:fill="D3DFEE"/>
            <w:vAlign w:val="center"/>
          </w:tcPr>
          <w:p w14:paraId="4E386487" w14:textId="77777777" w:rsidR="00ED71B2" w:rsidRDefault="00ED71B2" w:rsidP="00E22B98">
            <w:pPr>
              <w:spacing w:line="276" w:lineRule="auto"/>
              <w:jc w:val="center"/>
            </w:pPr>
            <w:r>
              <w:rPr>
                <w:i/>
              </w:rPr>
              <w:t>Calculated by Model</w:t>
            </w:r>
          </w:p>
        </w:tc>
      </w:tr>
      <w:tr w:rsidR="00ED71B2" w14:paraId="766C0596" w14:textId="77777777" w:rsidTr="00ED71B2">
        <w:tc>
          <w:tcPr>
            <w:tcW w:w="1170" w:type="dxa"/>
            <w:tcBorders>
              <w:right w:val="nil"/>
            </w:tcBorders>
            <w:shd w:val="clear" w:color="auto" w:fill="auto"/>
            <w:vAlign w:val="center"/>
          </w:tcPr>
          <w:p w14:paraId="068D800E" w14:textId="77777777" w:rsidR="00ED71B2" w:rsidRPr="00035A08" w:rsidRDefault="00ED71B2" w:rsidP="00E22B98">
            <w:pPr>
              <w:spacing w:line="276" w:lineRule="auto"/>
              <w:jc w:val="center"/>
              <w:rPr>
                <w:b/>
                <w:bCs/>
              </w:rPr>
            </w:pPr>
            <w:r w:rsidRPr="00035A08">
              <w:rPr>
                <w:b/>
                <w:bCs/>
              </w:rPr>
              <w:t>D</w:t>
            </w:r>
          </w:p>
        </w:tc>
        <w:tc>
          <w:tcPr>
            <w:tcW w:w="3600" w:type="dxa"/>
            <w:tcBorders>
              <w:left w:val="nil"/>
              <w:right w:val="nil"/>
            </w:tcBorders>
            <w:shd w:val="clear" w:color="auto" w:fill="auto"/>
            <w:vAlign w:val="center"/>
          </w:tcPr>
          <w:p w14:paraId="7D764750" w14:textId="77777777" w:rsidR="00ED71B2" w:rsidRDefault="00ED71B2" w:rsidP="00E22B98">
            <w:pPr>
              <w:spacing w:line="276" w:lineRule="auto"/>
              <w:jc w:val="center"/>
            </w:pPr>
            <w:r>
              <w:t>Commercial Energy Rate</w:t>
            </w:r>
          </w:p>
        </w:tc>
        <w:tc>
          <w:tcPr>
            <w:tcW w:w="3780" w:type="dxa"/>
            <w:tcBorders>
              <w:left w:val="nil"/>
            </w:tcBorders>
            <w:shd w:val="clear" w:color="auto" w:fill="auto"/>
            <w:vAlign w:val="center"/>
          </w:tcPr>
          <w:p w14:paraId="3D9ACB0A" w14:textId="77777777" w:rsidR="00ED71B2" w:rsidRPr="00FB5C05" w:rsidRDefault="00ED71B2" w:rsidP="00E22B98">
            <w:pPr>
              <w:spacing w:line="276" w:lineRule="auto"/>
              <w:jc w:val="center"/>
              <w:rPr>
                <w:b/>
              </w:rPr>
            </w:pPr>
            <w:r>
              <w:rPr>
                <w:i/>
              </w:rPr>
              <w:t>Calculated by Model</w:t>
            </w:r>
          </w:p>
        </w:tc>
      </w:tr>
      <w:tr w:rsidR="00ED71B2" w14:paraId="4645CB47" w14:textId="77777777" w:rsidTr="00ED71B2">
        <w:tc>
          <w:tcPr>
            <w:tcW w:w="1170" w:type="dxa"/>
            <w:tcBorders>
              <w:right w:val="nil"/>
            </w:tcBorders>
            <w:shd w:val="clear" w:color="auto" w:fill="D3DFEE"/>
            <w:vAlign w:val="center"/>
          </w:tcPr>
          <w:p w14:paraId="291F4C39" w14:textId="77777777" w:rsidR="00ED71B2" w:rsidRPr="00035A08" w:rsidRDefault="00ED71B2" w:rsidP="00E22B98">
            <w:pPr>
              <w:spacing w:line="276" w:lineRule="auto"/>
              <w:jc w:val="center"/>
              <w:rPr>
                <w:b/>
                <w:bCs/>
              </w:rPr>
            </w:pPr>
            <w:r w:rsidRPr="00035A08">
              <w:rPr>
                <w:b/>
                <w:bCs/>
              </w:rPr>
              <w:t>E</w:t>
            </w:r>
          </w:p>
        </w:tc>
        <w:tc>
          <w:tcPr>
            <w:tcW w:w="3600" w:type="dxa"/>
            <w:tcBorders>
              <w:left w:val="nil"/>
              <w:right w:val="nil"/>
            </w:tcBorders>
            <w:shd w:val="clear" w:color="auto" w:fill="D3DFEE"/>
            <w:vAlign w:val="center"/>
          </w:tcPr>
          <w:p w14:paraId="30BBDC95" w14:textId="77777777" w:rsidR="00ED71B2" w:rsidRDefault="00ED71B2" w:rsidP="00E22B98">
            <w:pPr>
              <w:spacing w:line="276" w:lineRule="auto"/>
              <w:jc w:val="center"/>
            </w:pPr>
            <w:r>
              <w:t>Commercial Demand Rate</w:t>
            </w:r>
          </w:p>
        </w:tc>
        <w:tc>
          <w:tcPr>
            <w:tcW w:w="3780" w:type="dxa"/>
            <w:tcBorders>
              <w:left w:val="nil"/>
            </w:tcBorders>
            <w:shd w:val="clear" w:color="auto" w:fill="D3DFEE"/>
            <w:vAlign w:val="center"/>
          </w:tcPr>
          <w:p w14:paraId="320A0A9C" w14:textId="77777777" w:rsidR="00ED71B2" w:rsidRDefault="00ED71B2" w:rsidP="00E22B98">
            <w:pPr>
              <w:spacing w:line="276" w:lineRule="auto"/>
              <w:jc w:val="center"/>
            </w:pPr>
            <w:r>
              <w:rPr>
                <w:i/>
              </w:rPr>
              <w:t>Calculated by Model</w:t>
            </w:r>
          </w:p>
        </w:tc>
      </w:tr>
      <w:tr w:rsidR="00ED71B2" w14:paraId="40776BA6" w14:textId="77777777" w:rsidTr="00ED71B2">
        <w:tc>
          <w:tcPr>
            <w:tcW w:w="1170" w:type="dxa"/>
            <w:tcBorders>
              <w:right w:val="nil"/>
            </w:tcBorders>
            <w:shd w:val="clear" w:color="auto" w:fill="FFFFFF" w:themeFill="background1"/>
            <w:vAlign w:val="center"/>
          </w:tcPr>
          <w:p w14:paraId="7E943D01" w14:textId="77777777" w:rsidR="00ED71B2" w:rsidRPr="00035A08" w:rsidRDefault="00ED71B2" w:rsidP="00E22B98">
            <w:pPr>
              <w:spacing w:line="276" w:lineRule="auto"/>
              <w:jc w:val="center"/>
              <w:rPr>
                <w:b/>
                <w:bCs/>
              </w:rPr>
            </w:pPr>
            <w:r>
              <w:rPr>
                <w:b/>
                <w:bCs/>
              </w:rPr>
              <w:t>F</w:t>
            </w:r>
          </w:p>
        </w:tc>
        <w:tc>
          <w:tcPr>
            <w:tcW w:w="3600" w:type="dxa"/>
            <w:tcBorders>
              <w:left w:val="nil"/>
              <w:right w:val="nil"/>
            </w:tcBorders>
            <w:shd w:val="clear" w:color="auto" w:fill="FFFFFF" w:themeFill="background1"/>
            <w:vAlign w:val="center"/>
          </w:tcPr>
          <w:p w14:paraId="17F543E1" w14:textId="77777777" w:rsidR="00ED71B2" w:rsidRDefault="00ED71B2" w:rsidP="00E22B98">
            <w:pPr>
              <w:spacing w:line="276" w:lineRule="auto"/>
              <w:jc w:val="center"/>
            </w:pPr>
            <w:r>
              <w:t>Annual Peak Load Forecast</w:t>
            </w:r>
          </w:p>
        </w:tc>
        <w:tc>
          <w:tcPr>
            <w:tcW w:w="3780" w:type="dxa"/>
            <w:tcBorders>
              <w:left w:val="nil"/>
            </w:tcBorders>
            <w:shd w:val="clear" w:color="auto" w:fill="FFFFFF" w:themeFill="background1"/>
            <w:vAlign w:val="center"/>
          </w:tcPr>
          <w:p w14:paraId="3739D399" w14:textId="77777777" w:rsidR="00ED71B2" w:rsidRDefault="00ED71B2" w:rsidP="00E22B98">
            <w:pPr>
              <w:spacing w:line="276" w:lineRule="auto"/>
              <w:jc w:val="center"/>
              <w:rPr>
                <w:i/>
              </w:rPr>
            </w:pPr>
            <w:r>
              <w:rPr>
                <w:i/>
              </w:rPr>
              <w:t>Calculated by Model</w:t>
            </w:r>
          </w:p>
        </w:tc>
      </w:tr>
      <w:tr w:rsidR="00ED71B2" w14:paraId="7D83C837" w14:textId="77777777" w:rsidTr="00ED71B2">
        <w:tc>
          <w:tcPr>
            <w:tcW w:w="1170" w:type="dxa"/>
            <w:tcBorders>
              <w:right w:val="nil"/>
            </w:tcBorders>
            <w:shd w:val="clear" w:color="auto" w:fill="C6D9F1" w:themeFill="text2" w:themeFillTint="33"/>
            <w:vAlign w:val="center"/>
          </w:tcPr>
          <w:p w14:paraId="40699BB1" w14:textId="77777777" w:rsidR="00ED71B2" w:rsidRPr="00035A08" w:rsidRDefault="00ED71B2" w:rsidP="00E22B98">
            <w:pPr>
              <w:spacing w:line="276" w:lineRule="auto"/>
              <w:jc w:val="center"/>
              <w:rPr>
                <w:b/>
                <w:bCs/>
              </w:rPr>
            </w:pPr>
            <w:r>
              <w:rPr>
                <w:b/>
                <w:bCs/>
              </w:rPr>
              <w:t>G</w:t>
            </w:r>
          </w:p>
        </w:tc>
        <w:tc>
          <w:tcPr>
            <w:tcW w:w="3600" w:type="dxa"/>
            <w:tcBorders>
              <w:left w:val="nil"/>
              <w:right w:val="nil"/>
            </w:tcBorders>
            <w:shd w:val="clear" w:color="auto" w:fill="C6D9F1" w:themeFill="text2" w:themeFillTint="33"/>
            <w:vAlign w:val="center"/>
          </w:tcPr>
          <w:p w14:paraId="2E86ADB8" w14:textId="77777777" w:rsidR="00ED71B2" w:rsidRDefault="00ED71B2" w:rsidP="00E22B98">
            <w:pPr>
              <w:spacing w:line="276" w:lineRule="auto"/>
              <w:jc w:val="center"/>
            </w:pPr>
            <w:r>
              <w:t>Utility Costs</w:t>
            </w:r>
          </w:p>
        </w:tc>
        <w:tc>
          <w:tcPr>
            <w:tcW w:w="3780" w:type="dxa"/>
            <w:tcBorders>
              <w:left w:val="nil"/>
            </w:tcBorders>
            <w:shd w:val="clear" w:color="auto" w:fill="C6D9F1" w:themeFill="text2" w:themeFillTint="33"/>
            <w:vAlign w:val="center"/>
          </w:tcPr>
          <w:p w14:paraId="7FC32C34" w14:textId="77777777" w:rsidR="00ED71B2" w:rsidRPr="00E918DD" w:rsidRDefault="00ED71B2" w:rsidP="00E22B98">
            <w:pPr>
              <w:spacing w:line="276" w:lineRule="auto"/>
              <w:jc w:val="center"/>
              <w:rPr>
                <w:i/>
              </w:rPr>
            </w:pPr>
            <w:r>
              <w:rPr>
                <w:i/>
              </w:rPr>
              <w:t>Calculated by Model</w:t>
            </w:r>
          </w:p>
        </w:tc>
      </w:tr>
      <w:tr w:rsidR="00ED71B2" w14:paraId="25502A20" w14:textId="77777777" w:rsidTr="00ED71B2">
        <w:tc>
          <w:tcPr>
            <w:tcW w:w="1170" w:type="dxa"/>
            <w:tcBorders>
              <w:right w:val="nil"/>
            </w:tcBorders>
            <w:shd w:val="clear" w:color="auto" w:fill="FFFFFF" w:themeFill="background1"/>
            <w:vAlign w:val="center"/>
          </w:tcPr>
          <w:p w14:paraId="43A4D39A" w14:textId="77777777" w:rsidR="00ED71B2" w:rsidRPr="00035A08" w:rsidRDefault="00ED71B2" w:rsidP="00E22B98">
            <w:pPr>
              <w:spacing w:line="276" w:lineRule="auto"/>
              <w:jc w:val="center"/>
              <w:rPr>
                <w:b/>
                <w:bCs/>
              </w:rPr>
            </w:pPr>
            <w:r>
              <w:rPr>
                <w:b/>
                <w:bCs/>
              </w:rPr>
              <w:t>H</w:t>
            </w:r>
          </w:p>
        </w:tc>
        <w:tc>
          <w:tcPr>
            <w:tcW w:w="3600" w:type="dxa"/>
            <w:tcBorders>
              <w:left w:val="nil"/>
              <w:right w:val="nil"/>
            </w:tcBorders>
            <w:shd w:val="clear" w:color="auto" w:fill="FFFFFF" w:themeFill="background1"/>
            <w:vAlign w:val="center"/>
          </w:tcPr>
          <w:p w14:paraId="25568AE5" w14:textId="77777777" w:rsidR="00ED71B2" w:rsidRDefault="00ED71B2" w:rsidP="00E22B98">
            <w:pPr>
              <w:spacing w:line="276" w:lineRule="auto"/>
              <w:jc w:val="center"/>
            </w:pPr>
            <w:r>
              <w:t>Effective Income Tax Rate</w:t>
            </w:r>
          </w:p>
        </w:tc>
        <w:tc>
          <w:tcPr>
            <w:tcW w:w="3780" w:type="dxa"/>
            <w:tcBorders>
              <w:left w:val="nil"/>
            </w:tcBorders>
            <w:shd w:val="clear" w:color="auto" w:fill="FFFFFF" w:themeFill="background1"/>
            <w:vAlign w:val="center"/>
          </w:tcPr>
          <w:p w14:paraId="041B45C4" w14:textId="77777777" w:rsidR="00ED71B2" w:rsidRDefault="00ED71B2" w:rsidP="00E22B98">
            <w:pPr>
              <w:spacing w:line="276" w:lineRule="auto"/>
              <w:jc w:val="center"/>
            </w:pPr>
            <w:r>
              <w:rPr>
                <w:i/>
              </w:rPr>
              <w:t xml:space="preserve">Input </w:t>
            </w:r>
          </w:p>
        </w:tc>
      </w:tr>
      <w:tr w:rsidR="00ED71B2" w14:paraId="2BE4CB7D" w14:textId="77777777" w:rsidTr="00ED71B2">
        <w:tc>
          <w:tcPr>
            <w:tcW w:w="1170" w:type="dxa"/>
            <w:tcBorders>
              <w:right w:val="nil"/>
            </w:tcBorders>
            <w:shd w:val="clear" w:color="auto" w:fill="D3DFEE"/>
            <w:vAlign w:val="center"/>
          </w:tcPr>
          <w:p w14:paraId="0F6CD0C4" w14:textId="77777777" w:rsidR="00ED71B2" w:rsidRDefault="00ED71B2" w:rsidP="00E22B98">
            <w:pPr>
              <w:spacing w:line="276" w:lineRule="auto"/>
              <w:jc w:val="center"/>
              <w:rPr>
                <w:b/>
                <w:bCs/>
              </w:rPr>
            </w:pPr>
            <w:r>
              <w:rPr>
                <w:b/>
                <w:bCs/>
              </w:rPr>
              <w:t>F</w:t>
            </w:r>
          </w:p>
        </w:tc>
        <w:tc>
          <w:tcPr>
            <w:tcW w:w="3600" w:type="dxa"/>
            <w:tcBorders>
              <w:left w:val="nil"/>
              <w:right w:val="nil"/>
            </w:tcBorders>
            <w:shd w:val="clear" w:color="auto" w:fill="D3DFEE"/>
            <w:vAlign w:val="center"/>
          </w:tcPr>
          <w:p w14:paraId="5C919916" w14:textId="77777777" w:rsidR="00ED71B2" w:rsidRDefault="00ED71B2" w:rsidP="00E22B98">
            <w:pPr>
              <w:spacing w:line="276" w:lineRule="auto"/>
              <w:jc w:val="center"/>
            </w:pPr>
            <w:r>
              <w:t>After-Tax Earnings</w:t>
            </w:r>
          </w:p>
        </w:tc>
        <w:tc>
          <w:tcPr>
            <w:tcW w:w="3780" w:type="dxa"/>
            <w:tcBorders>
              <w:left w:val="nil"/>
            </w:tcBorders>
            <w:shd w:val="clear" w:color="auto" w:fill="D3DFEE"/>
            <w:vAlign w:val="center"/>
          </w:tcPr>
          <w:p w14:paraId="58AACF6F" w14:textId="77777777" w:rsidR="00ED71B2" w:rsidRPr="005806B9" w:rsidRDefault="00ED71B2" w:rsidP="00E22B98">
            <w:pPr>
              <w:spacing w:line="276" w:lineRule="auto"/>
              <w:jc w:val="center"/>
              <w:rPr>
                <w:b/>
              </w:rPr>
            </w:pPr>
            <w:r>
              <w:rPr>
                <w:b/>
              </w:rPr>
              <w:t>{(A*C)+(B*D)+(F*E*12)G}*(1-H)</w:t>
            </w:r>
          </w:p>
        </w:tc>
      </w:tr>
    </w:tbl>
    <w:p w14:paraId="035F3F0C" w14:textId="77777777" w:rsidR="00ED71B2" w:rsidRPr="007B4489" w:rsidRDefault="00ED71B2" w:rsidP="00E22B98">
      <w:pPr>
        <w:spacing w:line="276" w:lineRule="auto"/>
      </w:pPr>
    </w:p>
    <w:p w14:paraId="10C9E412" w14:textId="77777777" w:rsidR="00ED71B2" w:rsidRDefault="00ED71B2" w:rsidP="00E22B98">
      <w:pPr>
        <w:spacing w:line="276" w:lineRule="auto"/>
      </w:pPr>
      <w:r>
        <w:t>The Return on Equity is the After-Tax Earnings divided by the Total Equity (see Fixed Costs subheading above).</w:t>
      </w:r>
    </w:p>
    <w:p w14:paraId="6D589CEB" w14:textId="77777777" w:rsidR="00FD7000" w:rsidRDefault="00FD7000" w:rsidP="00E22B98">
      <w:pPr>
        <w:spacing w:line="276" w:lineRule="auto"/>
      </w:pPr>
    </w:p>
    <w:p w14:paraId="307E7731" w14:textId="77777777" w:rsidR="00ED71B2" w:rsidRDefault="00ED71B2" w:rsidP="00ED71B2">
      <w:pPr>
        <w:rPr>
          <w:b/>
        </w:rPr>
      </w:pPr>
      <w:r>
        <w:rPr>
          <w:b/>
        </w:rPr>
        <w:t>ROE Breakdown Outputs</w:t>
      </w:r>
    </w:p>
    <w:p w14:paraId="7EAF5C27" w14:textId="283F258B" w:rsidR="00ED71B2" w:rsidRPr="005D54CE" w:rsidRDefault="00ED71B2" w:rsidP="00E22B98">
      <w:pPr>
        <w:spacing w:line="276" w:lineRule="auto"/>
      </w:pPr>
      <w:r>
        <w:br/>
      </w:r>
      <w:r w:rsidRPr="005D54CE">
        <w:t>These calculations are intended to display components of the ROE outputs that are made up of DSM cost recovery mechanisms, such as Lost Revenue Recovery</w:t>
      </w:r>
      <w:r w:rsidR="007D0E59" w:rsidRPr="005D54CE">
        <w:t xml:space="preserve">, </w:t>
      </w:r>
      <w:r w:rsidRPr="005D54CE">
        <w:t>Program Cost Recovery</w:t>
      </w:r>
      <w:r w:rsidR="007D0E59" w:rsidRPr="005D54CE">
        <w:t>, and Performance Incentives</w:t>
      </w:r>
      <w:r w:rsidRPr="005D54CE">
        <w:t xml:space="preserve">. Non-DSM-Cost-Recovery ROE is the total ROE minus contributions from DSM cost-recovery mechanisms, which are calculated in the Customer Calculations. </w:t>
      </w:r>
    </w:p>
    <w:p w14:paraId="286F3DB4" w14:textId="77777777" w:rsidR="00ED71B2" w:rsidRDefault="00ED71B2" w:rsidP="00ED71B2"/>
    <w:p w14:paraId="4E9EEDD8" w14:textId="0BE54A73" w:rsidR="00ED71B2" w:rsidRDefault="00ED71B2" w:rsidP="00ED71B2">
      <w:pPr>
        <w:pStyle w:val="Heading3"/>
        <w:spacing w:line="276" w:lineRule="auto"/>
      </w:pPr>
      <w:bookmarkStart w:id="63" w:name="_Toc376263710"/>
      <w:bookmarkStart w:id="64" w:name="_Toc376263774"/>
      <w:bookmarkStart w:id="65" w:name="_Toc376263963"/>
      <w:bookmarkStart w:id="66" w:name="_Toc278464918"/>
      <w:r>
        <w:t>Performance Incentive Sub-Module</w:t>
      </w:r>
      <w:bookmarkEnd w:id="63"/>
      <w:bookmarkEnd w:id="64"/>
      <w:bookmarkEnd w:id="65"/>
      <w:bookmarkEnd w:id="66"/>
    </w:p>
    <w:p w14:paraId="5BE480AD" w14:textId="15B78868" w:rsidR="002468EF" w:rsidRDefault="00ED71B2" w:rsidP="005F2D4E">
      <w:pPr>
        <w:spacing w:line="276" w:lineRule="auto"/>
      </w:pPr>
      <w:r w:rsidRPr="00D931A8">
        <w:t>The</w:t>
      </w:r>
      <w:r>
        <w:t xml:space="preserve"> performance incentive calculations are only triggered if the user has activated th</w:t>
      </w:r>
      <w:r w:rsidR="002468EF">
        <w:t>e incentive</w:t>
      </w:r>
      <w:r>
        <w:t xml:space="preserve"> in the Utility Sector (see Utility Sector</w:t>
      </w:r>
      <w:r w:rsidR="002468EF">
        <w:t xml:space="preserve"> 2.2.2</w:t>
      </w:r>
      <w:r>
        <w:t xml:space="preserve"> for details on how to do this). </w:t>
      </w:r>
      <w:r w:rsidR="002468EF">
        <w:t xml:space="preserve">The base incentive value is calculated by multiplying the value on which the incentive is based by the percent of that value that is authorized to be returned to the utility. </w:t>
      </w:r>
    </w:p>
    <w:p w14:paraId="5C6F6B5B" w14:textId="77777777" w:rsidR="005F2D4E" w:rsidRDefault="005F2D4E" w:rsidP="005F2D4E">
      <w:pPr>
        <w:spacing w:line="276" w:lineRule="auto"/>
      </w:pPr>
    </w:p>
    <w:p w14:paraId="7E20527E" w14:textId="770F0E36" w:rsidR="002468EF" w:rsidRDefault="002468EF" w:rsidP="005F2D4E">
      <w:pPr>
        <w:spacing w:line="276" w:lineRule="auto"/>
      </w:pPr>
      <w:r>
        <w:t xml:space="preserve">This base value can be adjusted based on various incentive limits. These are an incentive cap, a performance threshold, and grossed savings. The incentive cap allows for a different value to be selected and to limit the incentive to some portion of that value. An example would be to allow the recovery of an incentive based on savings but to limit it to some percentage of the program costs. </w:t>
      </w:r>
    </w:p>
    <w:p w14:paraId="0E227F04" w14:textId="77777777" w:rsidR="005F2D4E" w:rsidRDefault="005F2D4E" w:rsidP="005F2D4E">
      <w:pPr>
        <w:spacing w:line="276" w:lineRule="auto"/>
      </w:pPr>
    </w:p>
    <w:p w14:paraId="60DE9ABF" w14:textId="539883C2" w:rsidR="002468EF" w:rsidRDefault="002468EF" w:rsidP="005F2D4E">
      <w:pPr>
        <w:spacing w:line="276" w:lineRule="auto"/>
      </w:pPr>
      <w:r>
        <w:t>The performance threshold is a limit on the incentive based on a threshold that must be met. This simply compares the value that the program achieves for a given value and the amount that is entered as the threshold. If the program achieves less than the threshold, the base incentive amount is multiplied by t</w:t>
      </w:r>
      <w:r w:rsidR="005F2D4E">
        <w:t>he percent allowed when the thr</w:t>
      </w:r>
      <w:r>
        <w:t>eshold is n</w:t>
      </w:r>
      <w:r w:rsidR="005F2D4E">
        <w:t>ot met (an input). When the thr</w:t>
      </w:r>
      <w:r>
        <w:t xml:space="preserve">eshold is </w:t>
      </w:r>
      <w:r w:rsidR="005F2D4E">
        <w:t xml:space="preserve">met the base incentive amount is recovered as per normal. </w:t>
      </w:r>
    </w:p>
    <w:p w14:paraId="5AD73BEB" w14:textId="77777777" w:rsidR="005F2D4E" w:rsidRDefault="005F2D4E" w:rsidP="005F2D4E">
      <w:pPr>
        <w:spacing w:line="276" w:lineRule="auto"/>
      </w:pPr>
    </w:p>
    <w:p w14:paraId="062E9D98" w14:textId="02E35EFA" w:rsidR="00ED71B2" w:rsidRDefault="005F2D4E" w:rsidP="005F2D4E">
      <w:pPr>
        <w:spacing w:line="276" w:lineRule="auto"/>
      </w:pPr>
      <w:r>
        <w:t xml:space="preserve">The grossed savings is an adjustment on the amount of savings awarded for the purpose of calculating the incentives. The net-to-gross percentage is multiplied by the program savings before the base incentive calculation is done and involves no comparison or calculation after the base incentive is calculated. </w:t>
      </w:r>
    </w:p>
    <w:p w14:paraId="30962A66" w14:textId="77777777" w:rsidR="00574DAA" w:rsidRDefault="00574DAA" w:rsidP="005F2D4E">
      <w:pPr>
        <w:spacing w:line="276" w:lineRule="auto"/>
      </w:pPr>
    </w:p>
    <w:p w14:paraId="219521C1" w14:textId="69CEAF65" w:rsidR="00ED71B2" w:rsidRPr="005F2D4E" w:rsidRDefault="00ED71B2" w:rsidP="00ED71B2">
      <w:pPr>
        <w:pStyle w:val="Heading3"/>
        <w:spacing w:line="276" w:lineRule="auto"/>
        <w:rPr>
          <w:rFonts w:cs="Calibri"/>
          <w:sz w:val="26"/>
          <w:szCs w:val="26"/>
        </w:rPr>
      </w:pPr>
      <w:bookmarkStart w:id="67" w:name="_Toc376263711"/>
      <w:bookmarkStart w:id="68" w:name="_Toc376263775"/>
      <w:bookmarkStart w:id="69" w:name="_Toc376263964"/>
      <w:bookmarkStart w:id="70" w:name="_Toc278464919"/>
      <w:r>
        <w:t>Deferred Capital Investment Sub-Module</w:t>
      </w:r>
      <w:bookmarkEnd w:id="67"/>
      <w:bookmarkEnd w:id="68"/>
      <w:bookmarkEnd w:id="69"/>
      <w:bookmarkEnd w:id="70"/>
    </w:p>
    <w:p w14:paraId="713CA820" w14:textId="77777777" w:rsidR="00ED71B2" w:rsidRDefault="00ED71B2" w:rsidP="00ED71B2">
      <w:pPr>
        <w:spacing w:line="276" w:lineRule="auto"/>
      </w:pPr>
      <w:r>
        <w:t>The calculations of the Deferred Capital Investment sub-module show the number of years by which capital investment projects could be deferred. The key assumption to the Deferred Capital Investment sub-module is that capital investments are contingent in their timing upon the peak load. That is, the utility firm’s decision to make capital investments is driven by the peak load it foresees in the future, and mitigation of increases in peak load enables the utility to postpone such capital investments. The descriptions that follow apply to all capital investment projects input by the user.</w:t>
      </w:r>
    </w:p>
    <w:p w14:paraId="3F0ACA9D" w14:textId="77777777" w:rsidR="00ED71B2" w:rsidRDefault="00ED71B2" w:rsidP="00ED71B2">
      <w:pPr>
        <w:spacing w:line="276" w:lineRule="auto"/>
      </w:pPr>
    </w:p>
    <w:p w14:paraId="1C0BAD99" w14:textId="73205AA6" w:rsidR="00ED71B2" w:rsidRDefault="00ED71B2" w:rsidP="00ED71B2">
      <w:pPr>
        <w:spacing w:line="276" w:lineRule="auto"/>
      </w:pPr>
      <w:r>
        <w:t xml:space="preserve">The </w:t>
      </w:r>
      <w:r w:rsidR="00BE6B0B">
        <w:t>“</w:t>
      </w:r>
      <w:r>
        <w:t>Load at Activation Year Without EE</w:t>
      </w:r>
      <w:r w:rsidR="00BE6B0B">
        <w:t>”</w:t>
      </w:r>
      <w:r>
        <w:t xml:space="preserve"> is calculated by identifying the peak load that occurs in the BAU case at the Activation Year input by the user.</w:t>
      </w:r>
    </w:p>
    <w:p w14:paraId="089E1065" w14:textId="77777777" w:rsidR="00ED71B2" w:rsidRDefault="00ED71B2" w:rsidP="00ED71B2">
      <w:pPr>
        <w:spacing w:line="276" w:lineRule="auto"/>
      </w:pPr>
    </w:p>
    <w:p w14:paraId="32E79AC7" w14:textId="77777777" w:rsidR="00ED71B2" w:rsidRDefault="00ED71B2" w:rsidP="00ED71B2">
      <w:pPr>
        <w:spacing w:line="276" w:lineRule="auto"/>
      </w:pPr>
      <w:r>
        <w:t xml:space="preserve">The “Next Year at Which EE Load Reaches no EE Activation Year Load” is calculated by identifying the year in the DSM case at which peak load meets or exceeds the Load at Activation Year without EE. </w:t>
      </w:r>
    </w:p>
    <w:p w14:paraId="7A29A4F2" w14:textId="77777777" w:rsidR="00ED71B2" w:rsidRDefault="00ED71B2" w:rsidP="00ED71B2">
      <w:pPr>
        <w:spacing w:line="276" w:lineRule="auto"/>
      </w:pPr>
    </w:p>
    <w:p w14:paraId="2AA9E442" w14:textId="77777777" w:rsidR="00ED71B2" w:rsidRDefault="00ED71B2" w:rsidP="00ED71B2">
      <w:pPr>
        <w:spacing w:line="276" w:lineRule="auto"/>
      </w:pPr>
      <w:r>
        <w:t>The “Difference from Original Activation Year” is calculated by taking the difference between the “Next Year at Which EE Load Reaches no EE Activation Year Load” and the Activation Year input by the user.</w:t>
      </w:r>
    </w:p>
    <w:p w14:paraId="52A673B2" w14:textId="77777777" w:rsidR="00ED71B2" w:rsidRDefault="00ED71B2" w:rsidP="00ED71B2">
      <w:pPr>
        <w:spacing w:line="276" w:lineRule="auto"/>
      </w:pPr>
    </w:p>
    <w:p w14:paraId="56B14496" w14:textId="77777777" w:rsidR="00ED71B2" w:rsidRDefault="00ED71B2" w:rsidP="00ED71B2">
      <w:pPr>
        <w:spacing w:line="276" w:lineRule="auto"/>
      </w:pPr>
      <w:r>
        <w:t xml:space="preserve">The “Years in Time Series, Adjusted for Deferral” are calculated by subtracting the “Difference from Original Activation Year” from the year index time series. The year index time series is all integers starting at 0 and going to 25, representing the 25 years in the forecast period. For example, if the “Difference from Original Activation Year” is equal to 4, “Years in Time Series, Adjusted for Deferral” is all integers starting at -4 and going to 21. </w:t>
      </w:r>
    </w:p>
    <w:p w14:paraId="69A10EEC" w14:textId="77777777" w:rsidR="00ED71B2" w:rsidRDefault="00ED71B2" w:rsidP="00ED71B2">
      <w:pPr>
        <w:spacing w:line="276" w:lineRule="auto"/>
      </w:pPr>
    </w:p>
    <w:p w14:paraId="62C66B2B" w14:textId="77777777" w:rsidR="00ED71B2" w:rsidRDefault="00ED71B2" w:rsidP="00ED71B2">
      <w:pPr>
        <w:spacing w:line="276" w:lineRule="auto"/>
      </w:pPr>
      <w:r>
        <w:t>The “Costs in Time Series, Adjusted for Deferral” are calculated by matching the cost value for a given year input by the user in the Utility Sector Deferred Capital Investment sub-module with the corresponding year index in “Years in Time Series, Adjusted for Deferral.” For example</w:t>
      </w:r>
      <w:proofErr w:type="gramStart"/>
      <w:r>
        <w:t>,  if</w:t>
      </w:r>
      <w:proofErr w:type="gramEnd"/>
      <w:r>
        <w:t xml:space="preserve"> the user entered $1,000 in year 6, and the “Difference from Original Activation Year” is 4, the $1,000 for year 6 appears in year 10 in the “Costs in Time Series, Adjusted for Deferral.” </w:t>
      </w:r>
    </w:p>
    <w:p w14:paraId="710A3EFD" w14:textId="77777777" w:rsidR="00ED71B2" w:rsidRDefault="00ED71B2" w:rsidP="00ED71B2">
      <w:pPr>
        <w:spacing w:line="276" w:lineRule="auto"/>
      </w:pPr>
    </w:p>
    <w:p w14:paraId="311F5F1B" w14:textId="77777777" w:rsidR="00ED71B2" w:rsidRPr="00435105" w:rsidRDefault="00ED71B2" w:rsidP="00ED71B2">
      <w:pPr>
        <w:spacing w:line="276" w:lineRule="auto"/>
      </w:pPr>
      <w:r>
        <w:t xml:space="preserve">The values in “All Capital Investments” are the corresponding costs of each capital investment project for the given year under </w:t>
      </w:r>
      <w:r w:rsidR="00270901">
        <w:t xml:space="preserve">the BAU case and the DSM case. </w:t>
      </w:r>
    </w:p>
    <w:p w14:paraId="5C01100E" w14:textId="77777777" w:rsidR="00571C33" w:rsidRDefault="00571C33">
      <w:pPr>
        <w:suppressAutoHyphens w:val="0"/>
      </w:pPr>
    </w:p>
    <w:p w14:paraId="1D763CA4" w14:textId="77777777" w:rsidR="00571C33" w:rsidRDefault="00571C33">
      <w:pPr>
        <w:suppressAutoHyphens w:val="0"/>
        <w:rPr>
          <w:rFonts w:ascii="Calibri" w:hAnsi="Calibri"/>
          <w:b/>
          <w:bCs/>
          <w:color w:val="4F81BD"/>
          <w:sz w:val="26"/>
          <w:szCs w:val="26"/>
        </w:rPr>
      </w:pPr>
      <w:r>
        <w:br w:type="page"/>
      </w:r>
    </w:p>
    <w:p w14:paraId="1B905791" w14:textId="766BB7C7" w:rsidR="00ED71B2" w:rsidRDefault="00ED71B2" w:rsidP="00ED71B2">
      <w:pPr>
        <w:pStyle w:val="Heading2"/>
      </w:pPr>
      <w:bookmarkStart w:id="71" w:name="_Toc278464920"/>
      <w:r>
        <w:t>Cost-Benefit Analysis</w:t>
      </w:r>
      <w:bookmarkEnd w:id="71"/>
    </w:p>
    <w:p w14:paraId="226D4B27" w14:textId="55E8E697" w:rsidR="00316ADF" w:rsidRPr="00B810E9" w:rsidRDefault="00ED71B2" w:rsidP="00316ADF">
      <w:pPr>
        <w:pStyle w:val="BodyText"/>
        <w:spacing w:line="276" w:lineRule="auto"/>
        <w:ind w:firstLine="360"/>
        <w:rPr>
          <w:rFonts w:asciiTheme="majorHAnsi" w:hAnsiTheme="majorHAnsi"/>
        </w:rPr>
      </w:pPr>
      <w:r>
        <w:t>The Cost-Benefit Analysis</w:t>
      </w:r>
      <w:r w:rsidR="002F5DB0">
        <w:t xml:space="preserve"> (CBA)</w:t>
      </w:r>
      <w:r>
        <w:t xml:space="preserve"> calculations are intended to transform the Customer Calculations and the Utility Calculations into expressions of impacts to stakeholders. These </w:t>
      </w:r>
      <w:r w:rsidRPr="00B810E9">
        <w:rPr>
          <w:rFonts w:asciiTheme="majorHAnsi" w:hAnsiTheme="majorHAnsi"/>
        </w:rPr>
        <w:t>expressions are taken from the California Standard Procedures Manual</w:t>
      </w:r>
      <w:r w:rsidR="00756020">
        <w:rPr>
          <w:rStyle w:val="FootnoteReference"/>
          <w:rFonts w:asciiTheme="majorHAnsi" w:hAnsiTheme="majorHAnsi"/>
        </w:rPr>
        <w:footnoteReference w:id="35"/>
      </w:r>
      <w:r w:rsidRPr="00B810E9">
        <w:rPr>
          <w:rFonts w:asciiTheme="majorHAnsi" w:hAnsiTheme="majorHAnsi"/>
        </w:rPr>
        <w:t xml:space="preserve"> and are widely used throughout the electric utility industry. These four tests</w:t>
      </w:r>
      <w:r w:rsidRPr="00B810E9">
        <w:rPr>
          <w:rStyle w:val="FootnoteReference"/>
          <w:rFonts w:asciiTheme="majorHAnsi" w:hAnsiTheme="majorHAnsi"/>
        </w:rPr>
        <w:footnoteReference w:id="36"/>
      </w:r>
      <w:r w:rsidRPr="00B810E9">
        <w:rPr>
          <w:rFonts w:asciiTheme="majorHAnsi" w:hAnsiTheme="majorHAnsi"/>
        </w:rPr>
        <w:t xml:space="preserve"> are:</w:t>
      </w:r>
    </w:p>
    <w:p w14:paraId="4A9B889C" w14:textId="77777777" w:rsidR="00ED71B2" w:rsidRPr="00B810E9" w:rsidRDefault="00ED71B2" w:rsidP="00E22B98">
      <w:pPr>
        <w:pStyle w:val="ListParagraph"/>
        <w:numPr>
          <w:ilvl w:val="0"/>
          <w:numId w:val="5"/>
        </w:numPr>
        <w:suppressAutoHyphens w:val="0"/>
        <w:spacing w:line="276" w:lineRule="auto"/>
        <w:contextualSpacing/>
        <w:rPr>
          <w:rFonts w:asciiTheme="majorHAnsi" w:hAnsiTheme="majorHAnsi" w:cs="Arial"/>
          <w:bCs/>
        </w:rPr>
      </w:pPr>
      <w:r w:rsidRPr="00B810E9">
        <w:rPr>
          <w:rFonts w:asciiTheme="majorHAnsi" w:hAnsiTheme="majorHAnsi" w:cs="Arial"/>
          <w:bCs/>
        </w:rPr>
        <w:t>The Ratepayer Impact Measure (RIM) test, which identifies the extent to which electric power rates will increase due to the deployment of a given resource option.</w:t>
      </w:r>
    </w:p>
    <w:p w14:paraId="4BD4B817" w14:textId="6B0CBFBA" w:rsidR="00ED71B2" w:rsidRPr="00B810E9" w:rsidRDefault="00ED71B2" w:rsidP="00E22B98">
      <w:pPr>
        <w:pStyle w:val="ListParagraph"/>
        <w:numPr>
          <w:ilvl w:val="0"/>
          <w:numId w:val="5"/>
        </w:numPr>
        <w:suppressAutoHyphens w:val="0"/>
        <w:spacing w:line="276" w:lineRule="auto"/>
        <w:contextualSpacing/>
        <w:rPr>
          <w:rFonts w:asciiTheme="majorHAnsi" w:hAnsiTheme="majorHAnsi" w:cs="Arial"/>
          <w:bCs/>
        </w:rPr>
      </w:pPr>
      <w:r w:rsidRPr="00B810E9">
        <w:rPr>
          <w:rFonts w:asciiTheme="majorHAnsi" w:hAnsiTheme="majorHAnsi" w:cs="Arial"/>
          <w:bCs/>
        </w:rPr>
        <w:t>The Participant Cost Test (PCT), which weighs the costs and benefits to those adopting distributed resource options or participating in utility DSM programs</w:t>
      </w:r>
      <w:r w:rsidR="002F5DB0">
        <w:rPr>
          <w:rFonts w:asciiTheme="majorHAnsi" w:hAnsiTheme="majorHAnsi" w:cs="Arial"/>
          <w:bCs/>
        </w:rPr>
        <w:t>.</w:t>
      </w:r>
    </w:p>
    <w:p w14:paraId="3AA72804" w14:textId="542C3FDA" w:rsidR="00ED71B2" w:rsidRPr="00B810E9" w:rsidRDefault="00ED71B2" w:rsidP="00E22B98">
      <w:pPr>
        <w:pStyle w:val="ListParagraph"/>
        <w:numPr>
          <w:ilvl w:val="0"/>
          <w:numId w:val="5"/>
        </w:numPr>
        <w:suppressAutoHyphens w:val="0"/>
        <w:spacing w:line="276" w:lineRule="auto"/>
        <w:contextualSpacing/>
        <w:rPr>
          <w:rFonts w:asciiTheme="majorHAnsi" w:hAnsiTheme="majorHAnsi" w:cs="Arial"/>
          <w:bCs/>
        </w:rPr>
      </w:pPr>
      <w:r w:rsidRPr="00B810E9">
        <w:rPr>
          <w:rFonts w:asciiTheme="majorHAnsi" w:hAnsiTheme="majorHAnsi" w:cs="Arial"/>
          <w:bCs/>
        </w:rPr>
        <w:t>The Program Administrator Cost Test (PAC or PACT</w:t>
      </w:r>
      <w:r w:rsidR="002F5DB0">
        <w:rPr>
          <w:rFonts w:asciiTheme="majorHAnsi" w:hAnsiTheme="majorHAnsi" w:cs="Arial"/>
          <w:bCs/>
        </w:rPr>
        <w:t>, sometimes called the Utility Cost Test</w:t>
      </w:r>
      <w:r w:rsidRPr="00B810E9">
        <w:rPr>
          <w:rFonts w:asciiTheme="majorHAnsi" w:hAnsiTheme="majorHAnsi" w:cs="Arial"/>
          <w:bCs/>
        </w:rPr>
        <w:t>), which weigh</w:t>
      </w:r>
      <w:r w:rsidR="002F5DB0">
        <w:rPr>
          <w:rFonts w:asciiTheme="majorHAnsi" w:hAnsiTheme="majorHAnsi" w:cs="Arial"/>
          <w:bCs/>
        </w:rPr>
        <w:t>s</w:t>
      </w:r>
      <w:r w:rsidRPr="00B810E9">
        <w:rPr>
          <w:rFonts w:asciiTheme="majorHAnsi" w:hAnsiTheme="majorHAnsi" w:cs="Arial"/>
          <w:bCs/>
        </w:rPr>
        <w:t xml:space="preserve"> the costs and benefits to the utility firm seeking to deploy the given resource option or program</w:t>
      </w:r>
    </w:p>
    <w:p w14:paraId="3C1DFA8E" w14:textId="5D25606E" w:rsidR="00ED71B2" w:rsidRPr="00233693" w:rsidRDefault="00ED71B2" w:rsidP="00E22B98">
      <w:pPr>
        <w:pStyle w:val="ListParagraph"/>
        <w:numPr>
          <w:ilvl w:val="0"/>
          <w:numId w:val="5"/>
        </w:numPr>
        <w:suppressAutoHyphens w:val="0"/>
        <w:spacing w:line="276" w:lineRule="auto"/>
        <w:contextualSpacing/>
        <w:rPr>
          <w:rFonts w:asciiTheme="majorHAnsi" w:hAnsiTheme="majorHAnsi" w:cs="Arial"/>
          <w:bCs/>
        </w:rPr>
      </w:pPr>
      <w:r w:rsidRPr="00B810E9">
        <w:rPr>
          <w:rFonts w:asciiTheme="majorHAnsi" w:hAnsiTheme="majorHAnsi" w:cs="Arial"/>
          <w:bCs/>
        </w:rPr>
        <w:t xml:space="preserve">The Total Resource Cost Test (TRC), which estimates the net benefits of the resource option to both the utility firm and its ratepayers. </w:t>
      </w:r>
    </w:p>
    <w:p w14:paraId="0E2D2B3A" w14:textId="77777777" w:rsidR="00233693" w:rsidRDefault="00233693" w:rsidP="00E22B98">
      <w:pPr>
        <w:pStyle w:val="BodyText"/>
        <w:spacing w:line="276" w:lineRule="auto"/>
      </w:pPr>
    </w:p>
    <w:p w14:paraId="237AF806" w14:textId="1A251B69" w:rsidR="00A57C72" w:rsidRDefault="00BC2559" w:rsidP="00316ADF">
      <w:pPr>
        <w:pStyle w:val="BodyText"/>
        <w:spacing w:line="276" w:lineRule="auto"/>
        <w:ind w:firstLine="360"/>
      </w:pPr>
      <w:r>
        <w:t>The CBA calculations are each a net-present value (NPV) calculation. As such, each requires a discount rate to reflect the time-value of money. The PCT uses a default discount rate of 10%, while the other three tests use the utility’s WACC</w:t>
      </w:r>
      <w:r w:rsidR="00ED73A7">
        <w:t xml:space="preserve"> by default</w:t>
      </w:r>
      <w:r>
        <w:t>. This difference is meant to reflect greater risk aversion on behalf of customers in comparison to the risk aversion of utilities’ creditors.</w:t>
      </w:r>
      <w:r w:rsidR="00ED73A7">
        <w:t xml:space="preserve"> The user may change these values in the Cost-Benefit Analysis Sector of the model’s inputs.</w:t>
      </w:r>
    </w:p>
    <w:p w14:paraId="546D14D2" w14:textId="77777777" w:rsidR="00233693" w:rsidRDefault="00233693" w:rsidP="00E22B98">
      <w:pPr>
        <w:pStyle w:val="BodyText"/>
        <w:spacing w:line="276" w:lineRule="auto"/>
        <w:rPr>
          <w:b/>
        </w:rPr>
      </w:pPr>
    </w:p>
    <w:p w14:paraId="62E31D5F" w14:textId="77777777" w:rsidR="00316ADF" w:rsidRDefault="00316ADF" w:rsidP="00E22B98">
      <w:pPr>
        <w:pStyle w:val="BodyText"/>
        <w:spacing w:line="276" w:lineRule="auto"/>
        <w:rPr>
          <w:b/>
        </w:rPr>
      </w:pPr>
    </w:p>
    <w:p w14:paraId="3DEAC2A4" w14:textId="77777777" w:rsidR="00316ADF" w:rsidRDefault="00316ADF" w:rsidP="00E22B98">
      <w:pPr>
        <w:pStyle w:val="BodyText"/>
        <w:spacing w:line="276" w:lineRule="auto"/>
        <w:rPr>
          <w:b/>
        </w:rPr>
      </w:pPr>
    </w:p>
    <w:p w14:paraId="7239F474" w14:textId="77777777" w:rsidR="00316ADF" w:rsidRDefault="00316ADF" w:rsidP="00E22B98">
      <w:pPr>
        <w:pStyle w:val="BodyText"/>
        <w:spacing w:line="276" w:lineRule="auto"/>
        <w:rPr>
          <w:b/>
        </w:rPr>
      </w:pPr>
    </w:p>
    <w:p w14:paraId="3463EF0B" w14:textId="77777777" w:rsidR="00316ADF" w:rsidRDefault="00316ADF" w:rsidP="00E22B98">
      <w:pPr>
        <w:pStyle w:val="BodyText"/>
        <w:spacing w:line="276" w:lineRule="auto"/>
        <w:rPr>
          <w:b/>
        </w:rPr>
      </w:pPr>
    </w:p>
    <w:p w14:paraId="78D637DC" w14:textId="77777777" w:rsidR="00316ADF" w:rsidRDefault="00316ADF" w:rsidP="00E22B98">
      <w:pPr>
        <w:pStyle w:val="BodyText"/>
        <w:spacing w:line="276" w:lineRule="auto"/>
        <w:rPr>
          <w:b/>
        </w:rPr>
      </w:pPr>
    </w:p>
    <w:p w14:paraId="4D29DBF9" w14:textId="77777777" w:rsidR="00316ADF" w:rsidRDefault="00316ADF" w:rsidP="00E22B98">
      <w:pPr>
        <w:pStyle w:val="BodyText"/>
        <w:spacing w:line="276" w:lineRule="auto"/>
        <w:rPr>
          <w:b/>
        </w:rPr>
      </w:pPr>
    </w:p>
    <w:p w14:paraId="7DF1496D" w14:textId="77777777" w:rsidR="00233693" w:rsidRDefault="00233693" w:rsidP="00E22B98">
      <w:pPr>
        <w:pStyle w:val="BodyText"/>
        <w:spacing w:line="276" w:lineRule="auto"/>
      </w:pPr>
      <w:r>
        <w:rPr>
          <w:b/>
        </w:rPr>
        <w:t>Cost-Benefit Analysis Test Formulas</w:t>
      </w:r>
    </w:p>
    <w:p w14:paraId="4DF3832F" w14:textId="3984458F" w:rsidR="00233693" w:rsidRPr="00C9493D" w:rsidRDefault="00233693" w:rsidP="00E22B98">
      <w:pPr>
        <w:pStyle w:val="BodyText"/>
        <w:spacing w:line="276" w:lineRule="auto"/>
      </w:pPr>
      <w:r>
        <w:t xml:space="preserve">Each Cost-Benefit Analysis test uses a different formula for computing the net benefits of the DSM program. This section identifies the respective cost categories and benefit categories used in GT-DSM for each test. </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600"/>
        <w:gridCol w:w="3510"/>
      </w:tblGrid>
      <w:tr w:rsidR="00233693" w14:paraId="3AD581BC" w14:textId="77777777" w:rsidTr="007410AD">
        <w:trPr>
          <w:jc w:val="center"/>
        </w:trPr>
        <w:tc>
          <w:tcPr>
            <w:tcW w:w="1440" w:type="dxa"/>
            <w:shd w:val="clear" w:color="auto" w:fill="4F81BD"/>
            <w:vAlign w:val="center"/>
          </w:tcPr>
          <w:p w14:paraId="11FC85BB" w14:textId="77777777" w:rsidR="00233693" w:rsidRPr="00035A08" w:rsidRDefault="00233693" w:rsidP="00E22B98">
            <w:pPr>
              <w:spacing w:line="276" w:lineRule="auto"/>
              <w:jc w:val="center"/>
              <w:rPr>
                <w:b/>
                <w:bCs/>
                <w:color w:val="FFFFFF"/>
              </w:rPr>
            </w:pPr>
            <w:r>
              <w:rPr>
                <w:b/>
                <w:bCs/>
                <w:color w:val="FFFFFF"/>
              </w:rPr>
              <w:t>Test Name</w:t>
            </w:r>
          </w:p>
        </w:tc>
        <w:tc>
          <w:tcPr>
            <w:tcW w:w="3600" w:type="dxa"/>
            <w:shd w:val="clear" w:color="auto" w:fill="4F81BD"/>
            <w:vAlign w:val="center"/>
          </w:tcPr>
          <w:p w14:paraId="1FA320BE" w14:textId="77777777" w:rsidR="00233693" w:rsidRPr="00035A08" w:rsidRDefault="00233693" w:rsidP="00E22B98">
            <w:pPr>
              <w:spacing w:line="276" w:lineRule="auto"/>
              <w:jc w:val="center"/>
              <w:rPr>
                <w:b/>
                <w:bCs/>
                <w:color w:val="FFFFFF"/>
              </w:rPr>
            </w:pPr>
            <w:r>
              <w:rPr>
                <w:b/>
                <w:bCs/>
                <w:color w:val="FFFFFF"/>
              </w:rPr>
              <w:t>Benefit Categories</w:t>
            </w:r>
          </w:p>
        </w:tc>
        <w:tc>
          <w:tcPr>
            <w:tcW w:w="3510" w:type="dxa"/>
            <w:shd w:val="clear" w:color="auto" w:fill="4F81BD"/>
            <w:vAlign w:val="center"/>
          </w:tcPr>
          <w:p w14:paraId="502BC947" w14:textId="77777777" w:rsidR="00233693" w:rsidRPr="00035A08" w:rsidRDefault="00233693" w:rsidP="00E22B98">
            <w:pPr>
              <w:spacing w:line="276" w:lineRule="auto"/>
              <w:jc w:val="center"/>
              <w:rPr>
                <w:b/>
                <w:bCs/>
                <w:color w:val="FFFFFF"/>
              </w:rPr>
            </w:pPr>
            <w:r>
              <w:rPr>
                <w:b/>
                <w:bCs/>
                <w:color w:val="FFFFFF"/>
              </w:rPr>
              <w:t>Cost Categories</w:t>
            </w:r>
          </w:p>
        </w:tc>
      </w:tr>
      <w:tr w:rsidR="00233693" w14:paraId="15E90A88" w14:textId="77777777" w:rsidTr="007410AD">
        <w:trPr>
          <w:jc w:val="center"/>
        </w:trPr>
        <w:tc>
          <w:tcPr>
            <w:tcW w:w="1440" w:type="dxa"/>
            <w:shd w:val="clear" w:color="auto" w:fill="D3DFEE"/>
            <w:vAlign w:val="center"/>
          </w:tcPr>
          <w:p w14:paraId="2BDED414" w14:textId="77777777" w:rsidR="00233693" w:rsidRPr="00035A08" w:rsidRDefault="00233693" w:rsidP="00E22B98">
            <w:pPr>
              <w:spacing w:line="276" w:lineRule="auto"/>
              <w:jc w:val="center"/>
              <w:rPr>
                <w:b/>
                <w:bCs/>
              </w:rPr>
            </w:pPr>
            <w:r>
              <w:rPr>
                <w:b/>
                <w:bCs/>
              </w:rPr>
              <w:t>RIM</w:t>
            </w:r>
          </w:p>
        </w:tc>
        <w:tc>
          <w:tcPr>
            <w:tcW w:w="3600" w:type="dxa"/>
            <w:shd w:val="clear" w:color="auto" w:fill="D3DFEE"/>
            <w:vAlign w:val="center"/>
          </w:tcPr>
          <w:p w14:paraId="1E7AC162" w14:textId="77777777" w:rsidR="00233693" w:rsidRDefault="00233693" w:rsidP="00E22B98">
            <w:pPr>
              <w:spacing w:line="276" w:lineRule="auto"/>
              <w:jc w:val="center"/>
            </w:pPr>
            <w:r>
              <w:t>Avoided Supply Costs</w:t>
            </w:r>
          </w:p>
        </w:tc>
        <w:tc>
          <w:tcPr>
            <w:tcW w:w="3510" w:type="dxa"/>
            <w:shd w:val="clear" w:color="auto" w:fill="D3DFEE"/>
            <w:vAlign w:val="center"/>
          </w:tcPr>
          <w:p w14:paraId="66599654" w14:textId="6B4AB07E" w:rsidR="00233693" w:rsidRPr="00E54A11" w:rsidRDefault="00233693" w:rsidP="00E22B98">
            <w:pPr>
              <w:spacing w:line="276" w:lineRule="auto"/>
              <w:jc w:val="center"/>
            </w:pPr>
            <w:r w:rsidRPr="00E54A11">
              <w:t xml:space="preserve">Utility Costs of EE program; Reduced </w:t>
            </w:r>
            <w:r w:rsidR="00353EE7">
              <w:t>R</w:t>
            </w:r>
            <w:r w:rsidRPr="00E54A11">
              <w:t>evenues</w:t>
            </w:r>
            <w:r w:rsidR="00353EE7">
              <w:t xml:space="preserve"> to Utility</w:t>
            </w:r>
          </w:p>
        </w:tc>
      </w:tr>
      <w:tr w:rsidR="00233693" w14:paraId="7881D6BB" w14:textId="77777777" w:rsidTr="007410AD">
        <w:trPr>
          <w:jc w:val="center"/>
        </w:trPr>
        <w:tc>
          <w:tcPr>
            <w:tcW w:w="1440" w:type="dxa"/>
            <w:shd w:val="clear" w:color="auto" w:fill="auto"/>
            <w:vAlign w:val="center"/>
          </w:tcPr>
          <w:p w14:paraId="2845BA1B" w14:textId="77777777" w:rsidR="00233693" w:rsidRPr="00035A08" w:rsidRDefault="00233693" w:rsidP="00E22B98">
            <w:pPr>
              <w:spacing w:line="276" w:lineRule="auto"/>
              <w:jc w:val="center"/>
              <w:rPr>
                <w:b/>
                <w:bCs/>
              </w:rPr>
            </w:pPr>
            <w:r>
              <w:rPr>
                <w:b/>
                <w:bCs/>
              </w:rPr>
              <w:t>TRC</w:t>
            </w:r>
          </w:p>
        </w:tc>
        <w:tc>
          <w:tcPr>
            <w:tcW w:w="3600" w:type="dxa"/>
            <w:shd w:val="clear" w:color="auto" w:fill="auto"/>
            <w:vAlign w:val="center"/>
          </w:tcPr>
          <w:p w14:paraId="16016837" w14:textId="77777777" w:rsidR="00233693" w:rsidRDefault="00233693" w:rsidP="00E22B98">
            <w:pPr>
              <w:spacing w:line="276" w:lineRule="auto"/>
              <w:jc w:val="center"/>
            </w:pPr>
            <w:r>
              <w:t>Avoided Supply Costs</w:t>
            </w:r>
          </w:p>
        </w:tc>
        <w:tc>
          <w:tcPr>
            <w:tcW w:w="3510" w:type="dxa"/>
            <w:shd w:val="clear" w:color="auto" w:fill="auto"/>
            <w:vAlign w:val="center"/>
          </w:tcPr>
          <w:p w14:paraId="4F07C79E" w14:textId="6485E228" w:rsidR="00233693" w:rsidRPr="00E54A11" w:rsidRDefault="00233693" w:rsidP="00E22B98">
            <w:pPr>
              <w:spacing w:line="276" w:lineRule="auto"/>
              <w:jc w:val="center"/>
            </w:pPr>
            <w:r w:rsidRPr="00E54A11">
              <w:t xml:space="preserve">Utility Costs of EE program; Participant </w:t>
            </w:r>
            <w:r w:rsidR="007410AD">
              <w:t>Measure C</w:t>
            </w:r>
            <w:r w:rsidRPr="00E54A11">
              <w:t>osts</w:t>
            </w:r>
          </w:p>
        </w:tc>
      </w:tr>
      <w:tr w:rsidR="00233693" w14:paraId="4646CB6B" w14:textId="77777777" w:rsidTr="007410AD">
        <w:trPr>
          <w:jc w:val="center"/>
        </w:trPr>
        <w:tc>
          <w:tcPr>
            <w:tcW w:w="1440" w:type="dxa"/>
            <w:shd w:val="clear" w:color="auto" w:fill="D3DFEE"/>
            <w:vAlign w:val="center"/>
          </w:tcPr>
          <w:p w14:paraId="2817B813" w14:textId="77777777" w:rsidR="00233693" w:rsidRPr="00035A08" w:rsidRDefault="00233693" w:rsidP="00E22B98">
            <w:pPr>
              <w:spacing w:line="276" w:lineRule="auto"/>
              <w:jc w:val="center"/>
              <w:rPr>
                <w:b/>
                <w:bCs/>
              </w:rPr>
            </w:pPr>
            <w:r>
              <w:rPr>
                <w:b/>
                <w:bCs/>
              </w:rPr>
              <w:t>PAC</w:t>
            </w:r>
          </w:p>
        </w:tc>
        <w:tc>
          <w:tcPr>
            <w:tcW w:w="3600" w:type="dxa"/>
            <w:shd w:val="clear" w:color="auto" w:fill="D3DFEE"/>
            <w:vAlign w:val="center"/>
          </w:tcPr>
          <w:p w14:paraId="30FD795C" w14:textId="77777777" w:rsidR="00233693" w:rsidRDefault="00233693" w:rsidP="00E22B98">
            <w:pPr>
              <w:spacing w:line="276" w:lineRule="auto"/>
              <w:jc w:val="center"/>
            </w:pPr>
            <w:r>
              <w:t xml:space="preserve">Avoided Supply Costs </w:t>
            </w:r>
          </w:p>
        </w:tc>
        <w:tc>
          <w:tcPr>
            <w:tcW w:w="3510" w:type="dxa"/>
            <w:shd w:val="clear" w:color="auto" w:fill="D3DFEE"/>
            <w:vAlign w:val="center"/>
          </w:tcPr>
          <w:p w14:paraId="07258AB4" w14:textId="77777777" w:rsidR="00233693" w:rsidRPr="00E54A11" w:rsidRDefault="00233693" w:rsidP="00E22B98">
            <w:pPr>
              <w:spacing w:line="276" w:lineRule="auto"/>
              <w:jc w:val="center"/>
            </w:pPr>
            <w:r w:rsidRPr="00E54A11">
              <w:t>Utility Costs of EE program</w:t>
            </w:r>
          </w:p>
        </w:tc>
      </w:tr>
      <w:tr w:rsidR="00233693" w14:paraId="6737D0F7" w14:textId="77777777" w:rsidTr="007410AD">
        <w:trPr>
          <w:jc w:val="center"/>
        </w:trPr>
        <w:tc>
          <w:tcPr>
            <w:tcW w:w="1440" w:type="dxa"/>
            <w:shd w:val="clear" w:color="auto" w:fill="auto"/>
            <w:vAlign w:val="center"/>
          </w:tcPr>
          <w:p w14:paraId="24F6B245" w14:textId="77777777" w:rsidR="00233693" w:rsidRPr="00035A08" w:rsidRDefault="00233693" w:rsidP="00E22B98">
            <w:pPr>
              <w:spacing w:line="276" w:lineRule="auto"/>
              <w:jc w:val="center"/>
              <w:rPr>
                <w:b/>
                <w:bCs/>
              </w:rPr>
            </w:pPr>
            <w:r>
              <w:rPr>
                <w:b/>
                <w:bCs/>
              </w:rPr>
              <w:t>PCT</w:t>
            </w:r>
          </w:p>
        </w:tc>
        <w:tc>
          <w:tcPr>
            <w:tcW w:w="3600" w:type="dxa"/>
            <w:shd w:val="clear" w:color="auto" w:fill="auto"/>
            <w:vAlign w:val="center"/>
          </w:tcPr>
          <w:p w14:paraId="2721D836" w14:textId="5510C678" w:rsidR="00233693" w:rsidRDefault="00353EE7" w:rsidP="00E22B98">
            <w:pPr>
              <w:spacing w:line="276" w:lineRule="auto"/>
              <w:jc w:val="center"/>
            </w:pPr>
            <w:r>
              <w:t xml:space="preserve">Customer </w:t>
            </w:r>
            <w:r w:rsidR="00233693">
              <w:t xml:space="preserve">Bill Savings; </w:t>
            </w:r>
            <w:r>
              <w:br/>
            </w:r>
            <w:r w:rsidR="00233693">
              <w:t>Incentives Received</w:t>
            </w:r>
          </w:p>
        </w:tc>
        <w:tc>
          <w:tcPr>
            <w:tcW w:w="3510" w:type="dxa"/>
            <w:shd w:val="clear" w:color="auto" w:fill="auto"/>
            <w:vAlign w:val="center"/>
          </w:tcPr>
          <w:p w14:paraId="58704C9C" w14:textId="72F782A0" w:rsidR="00233693" w:rsidRPr="00E54A11" w:rsidRDefault="00233693" w:rsidP="00E22B98">
            <w:pPr>
              <w:spacing w:line="276" w:lineRule="auto"/>
              <w:jc w:val="center"/>
              <w:rPr>
                <w:b/>
              </w:rPr>
            </w:pPr>
            <w:r w:rsidRPr="00E54A11">
              <w:t xml:space="preserve">Participant </w:t>
            </w:r>
            <w:r w:rsidR="007410AD">
              <w:t>Measure</w:t>
            </w:r>
            <w:r w:rsidRPr="00E54A11">
              <w:t xml:space="preserve"> Costs</w:t>
            </w:r>
          </w:p>
        </w:tc>
      </w:tr>
    </w:tbl>
    <w:p w14:paraId="1D875B0E" w14:textId="77777777" w:rsidR="00A57C72" w:rsidRDefault="00A57C72" w:rsidP="00E22B98">
      <w:pPr>
        <w:pStyle w:val="BodyText"/>
        <w:spacing w:line="276" w:lineRule="auto"/>
      </w:pPr>
    </w:p>
    <w:p w14:paraId="6521FAEA" w14:textId="409A6C01" w:rsidR="00ED71B2" w:rsidRDefault="00ED71B2" w:rsidP="00316ADF">
      <w:pPr>
        <w:pStyle w:val="BodyText"/>
        <w:spacing w:line="276" w:lineRule="auto"/>
        <w:ind w:firstLine="720"/>
      </w:pPr>
      <w:r>
        <w:t xml:space="preserve">While the results of these tests are displayed within the model, these descriptions will focus on the calculations necessary to arrive at the </w:t>
      </w:r>
      <w:r w:rsidR="00502F5E">
        <w:t>CBA</w:t>
      </w:r>
      <w:r>
        <w:t xml:space="preserve"> test results.</w:t>
      </w:r>
    </w:p>
    <w:p w14:paraId="7F9ACC6C" w14:textId="70A13B79" w:rsidR="00353EE7" w:rsidRDefault="00353EE7" w:rsidP="00E22B98">
      <w:pPr>
        <w:pStyle w:val="BodyText"/>
        <w:spacing w:line="276" w:lineRule="auto"/>
      </w:pPr>
      <w:r>
        <w:t>Customer Bill Savings</w:t>
      </w:r>
    </w:p>
    <w:p w14:paraId="63A3E156" w14:textId="7F2E4C15" w:rsidR="00ED71B2" w:rsidRDefault="00ED71B2" w:rsidP="00E22B98">
      <w:pPr>
        <w:pStyle w:val="BodyText"/>
        <w:spacing w:line="276" w:lineRule="auto"/>
        <w:ind w:left="720"/>
      </w:pPr>
      <w:r>
        <w:t xml:space="preserve">The Customer Bill </w:t>
      </w:r>
      <w:r w:rsidR="007410AD">
        <w:t xml:space="preserve">Savings </w:t>
      </w:r>
      <w:r>
        <w:t>is calculated as the product of the total number of customers and the difference between the average customer bill in the BAU case and the average customer bill in the DSM case.</w:t>
      </w:r>
    </w:p>
    <w:p w14:paraId="6D18C639" w14:textId="6A797576" w:rsidR="00353EE7" w:rsidRDefault="00353EE7" w:rsidP="00E22B98">
      <w:pPr>
        <w:pStyle w:val="BodyText"/>
        <w:spacing w:line="276" w:lineRule="auto"/>
      </w:pPr>
      <w:r>
        <w:t>Participant Measure Costs</w:t>
      </w:r>
    </w:p>
    <w:p w14:paraId="21088386" w14:textId="698B8F28" w:rsidR="00ED71B2" w:rsidRDefault="00ED71B2" w:rsidP="00E22B98">
      <w:pPr>
        <w:pStyle w:val="BodyText"/>
        <w:spacing w:line="276" w:lineRule="auto"/>
        <w:ind w:left="720"/>
      </w:pPr>
      <w:r>
        <w:t>The Participant Measure Cost is the product of the Program Savings and the Weighted Average EE Program Cost</w:t>
      </w:r>
      <w:r w:rsidR="00F82FC9">
        <w:t xml:space="preserve"> per kWh-avoided</w:t>
      </w:r>
      <w:r>
        <w:t>. Both of these are user inputs. The Weighted Average EE Program Cost</w:t>
      </w:r>
      <w:r w:rsidR="00F82FC9">
        <w:t xml:space="preserve"> per kWh-avoided </w:t>
      </w:r>
      <w:r>
        <w:t>are input in the CBA analysis sheets and can be input separately for each customer class.</w:t>
      </w:r>
    </w:p>
    <w:p w14:paraId="77F79BA5" w14:textId="711AF8CF" w:rsidR="00353EE7" w:rsidRDefault="00353EE7" w:rsidP="00E22B98">
      <w:pPr>
        <w:pStyle w:val="BodyText"/>
        <w:spacing w:line="276" w:lineRule="auto"/>
      </w:pPr>
      <w:r>
        <w:t>Utility Cost of EE Program</w:t>
      </w:r>
    </w:p>
    <w:p w14:paraId="5EAA7901" w14:textId="29FFE9B8" w:rsidR="00ED71B2" w:rsidRDefault="00ED71B2" w:rsidP="00E22B98">
      <w:pPr>
        <w:pStyle w:val="BodyText"/>
        <w:spacing w:line="276" w:lineRule="auto"/>
        <w:ind w:left="720"/>
      </w:pPr>
      <w:r>
        <w:t xml:space="preserve">Utility </w:t>
      </w:r>
      <w:r w:rsidR="00353EE7">
        <w:t>Administrative Costs</w:t>
      </w:r>
      <w:r>
        <w:t xml:space="preserve"> is taken from the user inputs of EE program costs in the Customer Sector.</w:t>
      </w:r>
    </w:p>
    <w:p w14:paraId="4CF10696" w14:textId="76F11DBD" w:rsidR="00ED71B2" w:rsidRDefault="00ED71B2" w:rsidP="00E22B98">
      <w:pPr>
        <w:pStyle w:val="BodyText"/>
        <w:spacing w:line="276" w:lineRule="auto"/>
        <w:ind w:firstLine="720"/>
      </w:pPr>
      <w:r>
        <w:t>Incentives Paid is taken as an input from the user</w:t>
      </w:r>
      <w:r w:rsidR="00F82FC9">
        <w:t xml:space="preserve"> in the Customer Sector</w:t>
      </w:r>
      <w:r>
        <w:t xml:space="preserve">. </w:t>
      </w:r>
    </w:p>
    <w:p w14:paraId="32C7FE62" w14:textId="54D148B3" w:rsidR="00353EE7" w:rsidRDefault="00913F7F" w:rsidP="00E22B98">
      <w:pPr>
        <w:pStyle w:val="BodyText"/>
        <w:spacing w:line="276" w:lineRule="auto"/>
      </w:pPr>
      <w:r>
        <w:t>Incentives Received</w:t>
      </w:r>
    </w:p>
    <w:p w14:paraId="237A366C" w14:textId="4F45B19F" w:rsidR="00913F7F" w:rsidRDefault="00913F7F" w:rsidP="00E22B98">
      <w:pPr>
        <w:pStyle w:val="BodyText"/>
        <w:spacing w:line="276" w:lineRule="auto"/>
        <w:ind w:left="720"/>
      </w:pPr>
      <w:r>
        <w:t>Incentives Received are calculated as equivalent to the Incentives Paid under the Utility Costs of EE Program section</w:t>
      </w:r>
    </w:p>
    <w:p w14:paraId="59E8AC68" w14:textId="77777777" w:rsidR="00316ADF" w:rsidRDefault="00316ADF" w:rsidP="00E22B98">
      <w:pPr>
        <w:pStyle w:val="BodyText"/>
        <w:spacing w:line="276" w:lineRule="auto"/>
        <w:ind w:left="720"/>
      </w:pPr>
    </w:p>
    <w:p w14:paraId="4E2B0086" w14:textId="77777777" w:rsidR="00316ADF" w:rsidRDefault="00316ADF" w:rsidP="00E22B98">
      <w:pPr>
        <w:pStyle w:val="BodyText"/>
        <w:spacing w:line="276" w:lineRule="auto"/>
        <w:ind w:left="720"/>
      </w:pPr>
    </w:p>
    <w:p w14:paraId="509C1A57" w14:textId="003AD263" w:rsidR="00353EE7" w:rsidRDefault="00353EE7" w:rsidP="00E22B98">
      <w:pPr>
        <w:pStyle w:val="BodyText"/>
        <w:spacing w:line="276" w:lineRule="auto"/>
      </w:pPr>
      <w:r>
        <w:t>Reduced Revenues to Utility</w:t>
      </w:r>
    </w:p>
    <w:p w14:paraId="09A86D57" w14:textId="61FABF34" w:rsidR="00ED71B2" w:rsidRDefault="00353EE7" w:rsidP="00E22B98">
      <w:pPr>
        <w:pStyle w:val="BodyText"/>
        <w:spacing w:line="276" w:lineRule="auto"/>
        <w:ind w:left="720"/>
      </w:pPr>
      <w:r>
        <w:t>Reduced Revenues</w:t>
      </w:r>
      <w:r w:rsidR="00ED71B2">
        <w:t xml:space="preserve"> to Utility are calculated as equivalent to the Customer Bill </w:t>
      </w:r>
      <w:r w:rsidR="007410AD">
        <w:t>Savings</w:t>
      </w:r>
    </w:p>
    <w:p w14:paraId="70776F73" w14:textId="09C0093C" w:rsidR="00F82FC9" w:rsidRDefault="00F82FC9" w:rsidP="00E22B98">
      <w:pPr>
        <w:pStyle w:val="BodyText"/>
        <w:spacing w:line="276" w:lineRule="auto"/>
      </w:pPr>
      <w:r>
        <w:t>Avoided Supply Costs</w:t>
      </w:r>
    </w:p>
    <w:p w14:paraId="55675E28" w14:textId="392E319D" w:rsidR="00ED71B2" w:rsidRDefault="00F82FC9" w:rsidP="00E22B98">
      <w:pPr>
        <w:pStyle w:val="BodyText"/>
        <w:spacing w:line="276" w:lineRule="auto"/>
      </w:pPr>
      <w:r>
        <w:tab/>
        <w:t xml:space="preserve">Avoided Supply Costs are </w:t>
      </w:r>
      <w:r w:rsidR="00344B77">
        <w:t>calculated from other calculated values in the Utility Calculations</w:t>
      </w:r>
      <w:r>
        <w:t xml:space="preserve">. </w:t>
      </w:r>
      <w:r w:rsidR="00776367">
        <w:t>They are calculated as follows:</w:t>
      </w:r>
    </w:p>
    <w:tbl>
      <w:tblPr>
        <w:tblW w:w="8550" w:type="dxa"/>
        <w:tblInd w:w="37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70"/>
        <w:gridCol w:w="4410"/>
        <w:gridCol w:w="2970"/>
      </w:tblGrid>
      <w:tr w:rsidR="00ED71B2" w14:paraId="6DA3C275" w14:textId="77777777" w:rsidTr="00ED71B2">
        <w:tc>
          <w:tcPr>
            <w:tcW w:w="1170" w:type="dxa"/>
            <w:tcBorders>
              <w:top w:val="single" w:sz="8" w:space="0" w:color="7BA0CD"/>
              <w:left w:val="single" w:sz="8" w:space="0" w:color="7BA0CD"/>
              <w:bottom w:val="single" w:sz="8" w:space="0" w:color="7BA0CD"/>
              <w:right w:val="nil"/>
            </w:tcBorders>
            <w:shd w:val="clear" w:color="auto" w:fill="4F81BD"/>
            <w:vAlign w:val="center"/>
          </w:tcPr>
          <w:p w14:paraId="79940CD4" w14:textId="77777777" w:rsidR="00ED71B2" w:rsidRPr="00035A08" w:rsidRDefault="00ED71B2" w:rsidP="00ED71B2">
            <w:pPr>
              <w:jc w:val="center"/>
              <w:rPr>
                <w:b/>
                <w:bCs/>
                <w:color w:val="FFFFFF"/>
              </w:rPr>
            </w:pPr>
          </w:p>
        </w:tc>
        <w:tc>
          <w:tcPr>
            <w:tcW w:w="4410" w:type="dxa"/>
            <w:tcBorders>
              <w:top w:val="single" w:sz="8" w:space="0" w:color="7BA0CD"/>
              <w:left w:val="nil"/>
              <w:bottom w:val="single" w:sz="8" w:space="0" w:color="7BA0CD"/>
              <w:right w:val="nil"/>
            </w:tcBorders>
            <w:shd w:val="clear" w:color="auto" w:fill="4F81BD"/>
            <w:vAlign w:val="center"/>
          </w:tcPr>
          <w:p w14:paraId="3FBD1B39" w14:textId="77777777" w:rsidR="00ED71B2" w:rsidRPr="00035A08" w:rsidRDefault="00ED71B2" w:rsidP="00ED71B2">
            <w:pPr>
              <w:jc w:val="center"/>
              <w:rPr>
                <w:b/>
                <w:bCs/>
                <w:color w:val="FFFFFF"/>
              </w:rPr>
            </w:pPr>
            <w:r w:rsidRPr="00035A08">
              <w:rPr>
                <w:b/>
                <w:bCs/>
                <w:color w:val="FFFFFF"/>
              </w:rPr>
              <w:t>Name</w:t>
            </w:r>
          </w:p>
        </w:tc>
        <w:tc>
          <w:tcPr>
            <w:tcW w:w="2970" w:type="dxa"/>
            <w:tcBorders>
              <w:top w:val="single" w:sz="8" w:space="0" w:color="7BA0CD"/>
              <w:left w:val="nil"/>
              <w:bottom w:val="single" w:sz="8" w:space="0" w:color="7BA0CD"/>
              <w:right w:val="single" w:sz="8" w:space="0" w:color="7BA0CD"/>
            </w:tcBorders>
            <w:shd w:val="clear" w:color="auto" w:fill="4F81BD"/>
            <w:vAlign w:val="center"/>
          </w:tcPr>
          <w:p w14:paraId="54CA3D70" w14:textId="77777777" w:rsidR="00ED71B2" w:rsidRPr="00035A08" w:rsidRDefault="00ED71B2" w:rsidP="00ED71B2">
            <w:pPr>
              <w:jc w:val="center"/>
              <w:rPr>
                <w:b/>
                <w:bCs/>
                <w:color w:val="FFFFFF"/>
              </w:rPr>
            </w:pPr>
            <w:r w:rsidRPr="00035A08">
              <w:rPr>
                <w:b/>
                <w:bCs/>
                <w:color w:val="FFFFFF"/>
              </w:rPr>
              <w:t>Calculation</w:t>
            </w:r>
          </w:p>
        </w:tc>
      </w:tr>
      <w:tr w:rsidR="00ED71B2" w14:paraId="32916728" w14:textId="77777777" w:rsidTr="00ED71B2">
        <w:tc>
          <w:tcPr>
            <w:tcW w:w="1170" w:type="dxa"/>
            <w:tcBorders>
              <w:right w:val="nil"/>
            </w:tcBorders>
            <w:shd w:val="clear" w:color="auto" w:fill="D3DFEE"/>
            <w:vAlign w:val="center"/>
          </w:tcPr>
          <w:p w14:paraId="3E67FB5D" w14:textId="77777777" w:rsidR="00ED71B2" w:rsidRPr="00035A08" w:rsidRDefault="00ED71B2" w:rsidP="00ED71B2">
            <w:pPr>
              <w:jc w:val="center"/>
              <w:rPr>
                <w:b/>
                <w:bCs/>
              </w:rPr>
            </w:pPr>
            <w:r w:rsidRPr="00035A08">
              <w:rPr>
                <w:b/>
                <w:bCs/>
              </w:rPr>
              <w:t>A</w:t>
            </w:r>
          </w:p>
        </w:tc>
        <w:tc>
          <w:tcPr>
            <w:tcW w:w="4410" w:type="dxa"/>
            <w:tcBorders>
              <w:left w:val="nil"/>
              <w:right w:val="nil"/>
            </w:tcBorders>
            <w:shd w:val="clear" w:color="auto" w:fill="D3DFEE"/>
            <w:vAlign w:val="center"/>
          </w:tcPr>
          <w:p w14:paraId="3622F82D" w14:textId="686C076A" w:rsidR="00ED71B2" w:rsidRDefault="00ED71B2" w:rsidP="00ED71B2">
            <w:pPr>
              <w:jc w:val="center"/>
            </w:pPr>
            <w:r>
              <w:t>Annual</w:t>
            </w:r>
            <w:r w:rsidR="00776367">
              <w:t xml:space="preserve"> On-p</w:t>
            </w:r>
            <w:r>
              <w:t>eak Savings</w:t>
            </w:r>
          </w:p>
        </w:tc>
        <w:tc>
          <w:tcPr>
            <w:tcW w:w="2970" w:type="dxa"/>
            <w:tcBorders>
              <w:left w:val="nil"/>
            </w:tcBorders>
            <w:shd w:val="clear" w:color="auto" w:fill="D3DFEE"/>
            <w:vAlign w:val="center"/>
          </w:tcPr>
          <w:p w14:paraId="7697A492" w14:textId="77777777" w:rsidR="00ED71B2" w:rsidRPr="00FB5C05" w:rsidRDefault="00ED71B2" w:rsidP="00ED71B2">
            <w:pPr>
              <w:jc w:val="center"/>
              <w:rPr>
                <w:i/>
              </w:rPr>
            </w:pPr>
            <w:r>
              <w:rPr>
                <w:i/>
              </w:rPr>
              <w:t>Input</w:t>
            </w:r>
          </w:p>
        </w:tc>
      </w:tr>
      <w:tr w:rsidR="00ED71B2" w14:paraId="2B2F1F26" w14:textId="77777777" w:rsidTr="00ED71B2">
        <w:tc>
          <w:tcPr>
            <w:tcW w:w="1170" w:type="dxa"/>
            <w:tcBorders>
              <w:right w:val="nil"/>
            </w:tcBorders>
            <w:shd w:val="clear" w:color="auto" w:fill="auto"/>
            <w:vAlign w:val="center"/>
          </w:tcPr>
          <w:p w14:paraId="0F2F3596" w14:textId="77777777" w:rsidR="00ED71B2" w:rsidRPr="00035A08" w:rsidRDefault="00ED71B2" w:rsidP="00ED71B2">
            <w:pPr>
              <w:jc w:val="center"/>
              <w:rPr>
                <w:b/>
                <w:bCs/>
              </w:rPr>
            </w:pPr>
            <w:r w:rsidRPr="00035A08">
              <w:rPr>
                <w:b/>
                <w:bCs/>
              </w:rPr>
              <w:t>B</w:t>
            </w:r>
          </w:p>
        </w:tc>
        <w:tc>
          <w:tcPr>
            <w:tcW w:w="4410" w:type="dxa"/>
            <w:tcBorders>
              <w:left w:val="nil"/>
              <w:right w:val="nil"/>
            </w:tcBorders>
            <w:shd w:val="clear" w:color="auto" w:fill="auto"/>
            <w:vAlign w:val="center"/>
          </w:tcPr>
          <w:p w14:paraId="21277CFB" w14:textId="25CAAA0A" w:rsidR="00ED71B2" w:rsidRDefault="00776367" w:rsidP="00ED71B2">
            <w:pPr>
              <w:jc w:val="center"/>
            </w:pPr>
            <w:r>
              <w:t>On-peak Costs of Production</w:t>
            </w:r>
          </w:p>
        </w:tc>
        <w:tc>
          <w:tcPr>
            <w:tcW w:w="2970" w:type="dxa"/>
            <w:tcBorders>
              <w:left w:val="nil"/>
            </w:tcBorders>
            <w:shd w:val="clear" w:color="auto" w:fill="auto"/>
            <w:vAlign w:val="center"/>
          </w:tcPr>
          <w:p w14:paraId="02F27996" w14:textId="77777777" w:rsidR="00ED71B2" w:rsidRDefault="00ED71B2" w:rsidP="00ED71B2">
            <w:pPr>
              <w:jc w:val="center"/>
            </w:pPr>
            <w:r>
              <w:rPr>
                <w:i/>
              </w:rPr>
              <w:t>Input</w:t>
            </w:r>
          </w:p>
        </w:tc>
      </w:tr>
      <w:tr w:rsidR="00ED71B2" w14:paraId="6047B7C8" w14:textId="77777777" w:rsidTr="00ED71B2">
        <w:tc>
          <w:tcPr>
            <w:tcW w:w="1170" w:type="dxa"/>
            <w:tcBorders>
              <w:right w:val="nil"/>
            </w:tcBorders>
            <w:shd w:val="clear" w:color="auto" w:fill="D3DFEE"/>
            <w:vAlign w:val="center"/>
          </w:tcPr>
          <w:p w14:paraId="49CABC5D" w14:textId="77777777" w:rsidR="00ED71B2" w:rsidRPr="00035A08" w:rsidRDefault="00ED71B2" w:rsidP="00ED71B2">
            <w:pPr>
              <w:jc w:val="center"/>
              <w:rPr>
                <w:b/>
                <w:bCs/>
              </w:rPr>
            </w:pPr>
            <w:r w:rsidRPr="00035A08">
              <w:rPr>
                <w:b/>
                <w:bCs/>
              </w:rPr>
              <w:t>C</w:t>
            </w:r>
          </w:p>
        </w:tc>
        <w:tc>
          <w:tcPr>
            <w:tcW w:w="4410" w:type="dxa"/>
            <w:tcBorders>
              <w:left w:val="nil"/>
              <w:right w:val="nil"/>
            </w:tcBorders>
            <w:shd w:val="clear" w:color="auto" w:fill="D3DFEE"/>
            <w:vAlign w:val="center"/>
          </w:tcPr>
          <w:p w14:paraId="01A9182D" w14:textId="34E7508E" w:rsidR="00ED71B2" w:rsidRDefault="00776367" w:rsidP="00ED71B2">
            <w:pPr>
              <w:jc w:val="center"/>
            </w:pPr>
            <w:r>
              <w:t>Total Costs of Peak Production</w:t>
            </w:r>
          </w:p>
        </w:tc>
        <w:tc>
          <w:tcPr>
            <w:tcW w:w="2970" w:type="dxa"/>
            <w:tcBorders>
              <w:left w:val="nil"/>
            </w:tcBorders>
            <w:shd w:val="clear" w:color="auto" w:fill="D3DFEE"/>
            <w:vAlign w:val="center"/>
          </w:tcPr>
          <w:p w14:paraId="4F112866" w14:textId="4DE48CA8" w:rsidR="00ED71B2" w:rsidRDefault="00776367" w:rsidP="00ED71B2">
            <w:pPr>
              <w:jc w:val="center"/>
            </w:pPr>
            <w:r>
              <w:rPr>
                <w:i/>
              </w:rPr>
              <w:t>A*B</w:t>
            </w:r>
          </w:p>
        </w:tc>
      </w:tr>
      <w:tr w:rsidR="00ED71B2" w14:paraId="44659925" w14:textId="77777777" w:rsidTr="00ED71B2">
        <w:tc>
          <w:tcPr>
            <w:tcW w:w="1170" w:type="dxa"/>
            <w:tcBorders>
              <w:right w:val="nil"/>
            </w:tcBorders>
            <w:shd w:val="clear" w:color="auto" w:fill="auto"/>
            <w:vAlign w:val="center"/>
          </w:tcPr>
          <w:p w14:paraId="3A625A15" w14:textId="77777777" w:rsidR="00ED71B2" w:rsidRPr="00035A08" w:rsidRDefault="00ED71B2" w:rsidP="00ED71B2">
            <w:pPr>
              <w:jc w:val="center"/>
              <w:rPr>
                <w:b/>
                <w:bCs/>
              </w:rPr>
            </w:pPr>
            <w:r w:rsidRPr="00035A08">
              <w:rPr>
                <w:b/>
                <w:bCs/>
              </w:rPr>
              <w:t>D</w:t>
            </w:r>
          </w:p>
        </w:tc>
        <w:tc>
          <w:tcPr>
            <w:tcW w:w="4410" w:type="dxa"/>
            <w:tcBorders>
              <w:left w:val="nil"/>
              <w:right w:val="nil"/>
            </w:tcBorders>
            <w:shd w:val="clear" w:color="auto" w:fill="auto"/>
            <w:vAlign w:val="center"/>
          </w:tcPr>
          <w:p w14:paraId="6A26BD14" w14:textId="050E825A" w:rsidR="00ED71B2" w:rsidRDefault="00776367" w:rsidP="00776367">
            <w:pPr>
              <w:jc w:val="center"/>
            </w:pPr>
            <w:r>
              <w:t>Annual Off-peak Savings</w:t>
            </w:r>
          </w:p>
        </w:tc>
        <w:tc>
          <w:tcPr>
            <w:tcW w:w="2970" w:type="dxa"/>
            <w:tcBorders>
              <w:left w:val="nil"/>
            </w:tcBorders>
            <w:shd w:val="clear" w:color="auto" w:fill="auto"/>
            <w:vAlign w:val="center"/>
          </w:tcPr>
          <w:p w14:paraId="6B30A638" w14:textId="77777777" w:rsidR="00ED71B2" w:rsidRPr="00FB5C05" w:rsidRDefault="00ED71B2" w:rsidP="00ED71B2">
            <w:pPr>
              <w:jc w:val="center"/>
              <w:rPr>
                <w:b/>
              </w:rPr>
            </w:pPr>
            <w:r>
              <w:rPr>
                <w:i/>
              </w:rPr>
              <w:t>Input</w:t>
            </w:r>
          </w:p>
        </w:tc>
      </w:tr>
      <w:tr w:rsidR="00ED71B2" w14:paraId="52B434E8" w14:textId="77777777" w:rsidTr="00ED71B2">
        <w:tc>
          <w:tcPr>
            <w:tcW w:w="1170" w:type="dxa"/>
            <w:tcBorders>
              <w:right w:val="nil"/>
            </w:tcBorders>
            <w:shd w:val="clear" w:color="auto" w:fill="D3DFEE"/>
            <w:vAlign w:val="center"/>
          </w:tcPr>
          <w:p w14:paraId="08B10260" w14:textId="77777777" w:rsidR="00ED71B2" w:rsidRPr="00035A08" w:rsidRDefault="00ED71B2" w:rsidP="00ED71B2">
            <w:pPr>
              <w:jc w:val="center"/>
              <w:rPr>
                <w:b/>
                <w:bCs/>
              </w:rPr>
            </w:pPr>
            <w:r w:rsidRPr="00035A08">
              <w:rPr>
                <w:b/>
                <w:bCs/>
              </w:rPr>
              <w:t>E</w:t>
            </w:r>
          </w:p>
        </w:tc>
        <w:tc>
          <w:tcPr>
            <w:tcW w:w="4410" w:type="dxa"/>
            <w:tcBorders>
              <w:left w:val="nil"/>
              <w:right w:val="nil"/>
            </w:tcBorders>
            <w:shd w:val="clear" w:color="auto" w:fill="D3DFEE"/>
            <w:vAlign w:val="center"/>
          </w:tcPr>
          <w:p w14:paraId="09B4DFDD" w14:textId="4E23E7B5" w:rsidR="00ED71B2" w:rsidRDefault="00776367" w:rsidP="00ED71B2">
            <w:pPr>
              <w:jc w:val="center"/>
            </w:pPr>
            <w:r>
              <w:t>Off-peak Costs of Production</w:t>
            </w:r>
          </w:p>
        </w:tc>
        <w:tc>
          <w:tcPr>
            <w:tcW w:w="2970" w:type="dxa"/>
            <w:tcBorders>
              <w:left w:val="nil"/>
            </w:tcBorders>
            <w:shd w:val="clear" w:color="auto" w:fill="D3DFEE"/>
            <w:vAlign w:val="center"/>
          </w:tcPr>
          <w:p w14:paraId="7AFCE398" w14:textId="77777777" w:rsidR="00ED71B2" w:rsidRDefault="00ED71B2" w:rsidP="00ED71B2">
            <w:pPr>
              <w:jc w:val="center"/>
            </w:pPr>
            <w:r>
              <w:rPr>
                <w:i/>
              </w:rPr>
              <w:t>Input</w:t>
            </w:r>
          </w:p>
        </w:tc>
      </w:tr>
      <w:tr w:rsidR="00ED71B2" w14:paraId="044DE103" w14:textId="77777777" w:rsidTr="00ED71B2">
        <w:tc>
          <w:tcPr>
            <w:tcW w:w="1170" w:type="dxa"/>
            <w:tcBorders>
              <w:right w:val="nil"/>
            </w:tcBorders>
            <w:shd w:val="clear" w:color="auto" w:fill="FFFFFF" w:themeFill="background1"/>
            <w:vAlign w:val="center"/>
          </w:tcPr>
          <w:p w14:paraId="665E7754" w14:textId="77777777" w:rsidR="00ED71B2" w:rsidRPr="00035A08" w:rsidRDefault="00ED71B2" w:rsidP="00ED71B2">
            <w:pPr>
              <w:jc w:val="center"/>
              <w:rPr>
                <w:b/>
                <w:bCs/>
              </w:rPr>
            </w:pPr>
            <w:r>
              <w:rPr>
                <w:b/>
                <w:bCs/>
              </w:rPr>
              <w:t>F</w:t>
            </w:r>
          </w:p>
        </w:tc>
        <w:tc>
          <w:tcPr>
            <w:tcW w:w="4410" w:type="dxa"/>
            <w:tcBorders>
              <w:left w:val="nil"/>
              <w:right w:val="nil"/>
            </w:tcBorders>
            <w:shd w:val="clear" w:color="auto" w:fill="FFFFFF" w:themeFill="background1"/>
            <w:vAlign w:val="center"/>
          </w:tcPr>
          <w:p w14:paraId="5114C38E" w14:textId="54824850" w:rsidR="00ED71B2" w:rsidRDefault="00776367" w:rsidP="00ED71B2">
            <w:pPr>
              <w:jc w:val="center"/>
            </w:pPr>
            <w:r>
              <w:t>Total Costs of Off-peak Production</w:t>
            </w:r>
          </w:p>
        </w:tc>
        <w:tc>
          <w:tcPr>
            <w:tcW w:w="2970" w:type="dxa"/>
            <w:tcBorders>
              <w:left w:val="nil"/>
            </w:tcBorders>
            <w:shd w:val="clear" w:color="auto" w:fill="FFFFFF" w:themeFill="background1"/>
            <w:vAlign w:val="center"/>
          </w:tcPr>
          <w:p w14:paraId="249F09F6" w14:textId="188E3711" w:rsidR="00ED71B2" w:rsidRDefault="00776367" w:rsidP="00ED71B2">
            <w:pPr>
              <w:jc w:val="center"/>
              <w:rPr>
                <w:i/>
              </w:rPr>
            </w:pPr>
            <w:r>
              <w:rPr>
                <w:i/>
              </w:rPr>
              <w:t>D*E</w:t>
            </w:r>
          </w:p>
        </w:tc>
      </w:tr>
      <w:tr w:rsidR="00ED71B2" w14:paraId="37872606" w14:textId="77777777" w:rsidTr="00ED71B2">
        <w:tc>
          <w:tcPr>
            <w:tcW w:w="1170" w:type="dxa"/>
            <w:tcBorders>
              <w:right w:val="nil"/>
            </w:tcBorders>
            <w:shd w:val="clear" w:color="auto" w:fill="D3DFEE"/>
            <w:vAlign w:val="center"/>
          </w:tcPr>
          <w:p w14:paraId="3ABDDDDF" w14:textId="77777777" w:rsidR="00ED71B2" w:rsidRDefault="00ED71B2" w:rsidP="00ED71B2">
            <w:pPr>
              <w:jc w:val="center"/>
              <w:rPr>
                <w:b/>
                <w:bCs/>
              </w:rPr>
            </w:pPr>
            <w:r>
              <w:rPr>
                <w:b/>
                <w:bCs/>
              </w:rPr>
              <w:t>G</w:t>
            </w:r>
          </w:p>
        </w:tc>
        <w:tc>
          <w:tcPr>
            <w:tcW w:w="4410" w:type="dxa"/>
            <w:tcBorders>
              <w:left w:val="nil"/>
              <w:right w:val="nil"/>
            </w:tcBorders>
            <w:shd w:val="clear" w:color="auto" w:fill="D3DFEE"/>
            <w:vAlign w:val="center"/>
          </w:tcPr>
          <w:p w14:paraId="20F58D2E" w14:textId="77777777" w:rsidR="00ED71B2" w:rsidRDefault="00ED71B2" w:rsidP="00ED71B2">
            <w:pPr>
              <w:jc w:val="center"/>
            </w:pPr>
            <w:r>
              <w:t>Total Avoided Supply Costs</w:t>
            </w:r>
          </w:p>
        </w:tc>
        <w:tc>
          <w:tcPr>
            <w:tcW w:w="2970" w:type="dxa"/>
            <w:tcBorders>
              <w:left w:val="nil"/>
            </w:tcBorders>
            <w:shd w:val="clear" w:color="auto" w:fill="D3DFEE"/>
            <w:vAlign w:val="center"/>
          </w:tcPr>
          <w:p w14:paraId="0735D709" w14:textId="0159A3B4" w:rsidR="00ED71B2" w:rsidRPr="005806B9" w:rsidRDefault="00776367" w:rsidP="00ED71B2">
            <w:pPr>
              <w:jc w:val="center"/>
              <w:rPr>
                <w:b/>
              </w:rPr>
            </w:pPr>
            <w:r>
              <w:rPr>
                <w:b/>
              </w:rPr>
              <w:t>C+F</w:t>
            </w:r>
          </w:p>
        </w:tc>
      </w:tr>
    </w:tbl>
    <w:p w14:paraId="2CA8A5F9" w14:textId="77777777" w:rsidR="00501AD6" w:rsidRDefault="00501AD6">
      <w:pPr>
        <w:suppressAutoHyphens w:val="0"/>
      </w:pPr>
    </w:p>
    <w:p w14:paraId="025130FF" w14:textId="77777777" w:rsidR="00BC6477" w:rsidRDefault="00BC6477">
      <w:pPr>
        <w:suppressAutoHyphens w:val="0"/>
        <w:rPr>
          <w:rFonts w:ascii="Calibri" w:hAnsi="Calibri"/>
          <w:b/>
          <w:bCs/>
          <w:color w:val="4F81BD"/>
          <w:sz w:val="26"/>
          <w:szCs w:val="26"/>
        </w:rPr>
      </w:pPr>
      <w:r>
        <w:br w:type="page"/>
      </w:r>
    </w:p>
    <w:p w14:paraId="7FD1534A" w14:textId="77777777" w:rsidR="001E56D8" w:rsidRDefault="001E56D8" w:rsidP="00E22B98">
      <w:pPr>
        <w:pStyle w:val="Heading1"/>
      </w:pPr>
      <w:bookmarkStart w:id="72" w:name="_Toc278464921"/>
      <w:r>
        <w:t>Outputs</w:t>
      </w:r>
      <w:bookmarkEnd w:id="60"/>
      <w:bookmarkEnd w:id="61"/>
      <w:bookmarkEnd w:id="72"/>
    </w:p>
    <w:p w14:paraId="1C7547FB" w14:textId="77777777" w:rsidR="00C44DE3" w:rsidRPr="00C44DE3" w:rsidRDefault="00C44DE3" w:rsidP="00E22B98">
      <w:pPr>
        <w:pStyle w:val="BodyText"/>
        <w:spacing w:line="276" w:lineRule="auto"/>
        <w:ind w:firstLine="432"/>
      </w:pPr>
      <w:r>
        <w:t>The outputs for the model are listed within the following section and contain a brief description with a breakdown of the inputs and calculations that apply. The data listed in the images are based on one or more Southeastern utilities and should only be considered examples of possible data.</w:t>
      </w:r>
    </w:p>
    <w:p w14:paraId="5A572998" w14:textId="77777777" w:rsidR="001E56D8" w:rsidRDefault="001E56D8" w:rsidP="005D54CE">
      <w:pPr>
        <w:pStyle w:val="Heading2"/>
      </w:pPr>
      <w:bookmarkStart w:id="73" w:name="__RefHeading__742_1188058509"/>
      <w:bookmarkStart w:id="74" w:name="_Toc376263714"/>
      <w:bookmarkStart w:id="75" w:name="_Toc376263778"/>
      <w:bookmarkStart w:id="76" w:name="_Toc278464922"/>
      <w:bookmarkEnd w:id="73"/>
      <w:r>
        <w:t>Customer Sector</w:t>
      </w:r>
      <w:bookmarkEnd w:id="74"/>
      <w:bookmarkEnd w:id="75"/>
      <w:bookmarkEnd w:id="76"/>
    </w:p>
    <w:p w14:paraId="5CE39C03" w14:textId="77777777" w:rsidR="00C44DE3" w:rsidRDefault="0033542E" w:rsidP="00E22B98">
      <w:pPr>
        <w:pStyle w:val="BodyText"/>
        <w:spacing w:line="276" w:lineRule="auto"/>
        <w:ind w:firstLine="576"/>
      </w:pPr>
      <w:r>
        <w:t xml:space="preserve">The Customer Sector outputs are split into two parts: outputs from the </w:t>
      </w:r>
      <w:r w:rsidR="00C11BAB">
        <w:t>R</w:t>
      </w:r>
      <w:r>
        <w:t xml:space="preserve">ate </w:t>
      </w:r>
      <w:r w:rsidR="00C11BAB">
        <w:t>I</w:t>
      </w:r>
      <w:r>
        <w:t xml:space="preserve">mpact module and outputs from the </w:t>
      </w:r>
      <w:r w:rsidR="00C11BAB">
        <w:t>B</w:t>
      </w:r>
      <w:r>
        <w:t xml:space="preserve">ill </w:t>
      </w:r>
      <w:r w:rsidR="00C11BAB">
        <w:t>I</w:t>
      </w:r>
      <w:r>
        <w:t xml:space="preserve">mpact module. </w:t>
      </w:r>
    </w:p>
    <w:p w14:paraId="22E4F93B" w14:textId="77777777" w:rsidR="00453123" w:rsidRDefault="00453123" w:rsidP="00E22B98">
      <w:pPr>
        <w:pStyle w:val="BodyText"/>
        <w:spacing w:line="276" w:lineRule="auto"/>
        <w:ind w:firstLine="576"/>
      </w:pPr>
    </w:p>
    <w:p w14:paraId="453A139E" w14:textId="285C5CE7" w:rsidR="00C44DE3" w:rsidRDefault="00C44DE3" w:rsidP="00E22B98">
      <w:pPr>
        <w:pStyle w:val="Heading3"/>
        <w:spacing w:line="276" w:lineRule="auto"/>
      </w:pPr>
      <w:bookmarkStart w:id="77" w:name="_Toc278464923"/>
      <w:r>
        <w:t>Rate Impact Module</w:t>
      </w:r>
      <w:bookmarkEnd w:id="77"/>
    </w:p>
    <w:p w14:paraId="600F5D4D" w14:textId="77777777" w:rsidR="00453123" w:rsidRDefault="00453123" w:rsidP="00E22B98">
      <w:pPr>
        <w:pStyle w:val="BodyText"/>
        <w:spacing w:line="276" w:lineRule="auto"/>
        <w:ind w:firstLine="720"/>
      </w:pPr>
      <w:r>
        <w:t xml:space="preserve">The Rate Impact Module outputs </w:t>
      </w:r>
      <w:r w:rsidR="00B8280C">
        <w:t>shows</w:t>
      </w:r>
      <w:r w:rsidR="00937DCD">
        <w:t xml:space="preserve"> </w:t>
      </w:r>
      <w:r w:rsidR="00B8280C">
        <w:t>a</w:t>
      </w:r>
      <w:r w:rsidR="00937DCD">
        <w:t xml:space="preserve"> compar</w:t>
      </w:r>
      <w:r w:rsidR="00B8280C">
        <w:t>ison of</w:t>
      </w:r>
      <w:r w:rsidR="00937DCD">
        <w:t xml:space="preserve"> rates in the base case and the energy efficiency case, a breakdown of the rate components in the energy efficiency case, and information on the levelized cost of energy efficiency. </w:t>
      </w:r>
    </w:p>
    <w:p w14:paraId="73FEFC4F" w14:textId="369970AC" w:rsidR="00592C70" w:rsidRPr="00453123" w:rsidRDefault="00453123" w:rsidP="00E22B98">
      <w:pPr>
        <w:pStyle w:val="BodyText"/>
        <w:spacing w:line="276" w:lineRule="auto"/>
        <w:ind w:firstLine="720"/>
      </w:pPr>
      <w:r>
        <w:t xml:space="preserve">The first set of outputs, % Rate </w:t>
      </w:r>
      <w:r w:rsidR="00937DCD">
        <w:t>D</w:t>
      </w:r>
      <w:r>
        <w:t xml:space="preserve">ifference and </w:t>
      </w:r>
      <w:r w:rsidR="008A09A9">
        <w:t>Rate Impact Breakdown</w:t>
      </w:r>
      <w:r w:rsidR="00937DCD">
        <w:t>,</w:t>
      </w:r>
      <w:r>
        <w:t xml:space="preserve"> </w:t>
      </w:r>
      <w:r w:rsidR="00937DCD">
        <w:t xml:space="preserve">are </w:t>
      </w:r>
      <w:r w:rsidR="008A09A9">
        <w:t>a look at the difference in</w:t>
      </w:r>
      <w:r w:rsidR="00937DCD">
        <w:t xml:space="preserve"> rates between the base case and the energy efficiency case.</w:t>
      </w:r>
      <w:r w:rsidR="00592C70">
        <w:t xml:space="preserve"> Both can be seen below (Figure 1).</w:t>
      </w:r>
      <w:r w:rsidR="00592C70" w:rsidRPr="00453123">
        <w:t xml:space="preserve"> </w:t>
      </w:r>
    </w:p>
    <w:p w14:paraId="2CCFC2D1" w14:textId="0E67388D" w:rsidR="008A09A9" w:rsidRDefault="008A09A9" w:rsidP="008A09A9">
      <w:pPr>
        <w:pStyle w:val="BodyText"/>
        <w:keepNext/>
        <w:spacing w:line="276" w:lineRule="auto"/>
      </w:pPr>
      <w:r>
        <w:rPr>
          <w:noProof/>
          <w:lang w:eastAsia="en-US"/>
        </w:rPr>
        <w:drawing>
          <wp:inline distT="0" distB="0" distL="0" distR="0" wp14:anchorId="7154DA98" wp14:editId="1EC450A9">
            <wp:extent cx="2654300" cy="173990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noProof/>
          <w:lang w:eastAsia="en-US"/>
        </w:rPr>
        <w:drawing>
          <wp:inline distT="0" distB="0" distL="0" distR="0" wp14:anchorId="28F125BB" wp14:editId="6C57227B">
            <wp:extent cx="2719070" cy="1739900"/>
            <wp:effectExtent l="0" t="0" r="2413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CAEA87B" w14:textId="757157A9" w:rsidR="006A44C5" w:rsidRDefault="008A09A9" w:rsidP="00592C70">
      <w:pPr>
        <w:pStyle w:val="Caption"/>
      </w:pPr>
      <w:r>
        <w:t xml:space="preserve">Figure </w:t>
      </w:r>
      <w:fldSimple w:instr=" SEQ Figure \* ARABIC ">
        <w:r w:rsidR="00D757B6">
          <w:rPr>
            <w:noProof/>
          </w:rPr>
          <w:t>1</w:t>
        </w:r>
      </w:fldSimple>
      <w:r>
        <w:t xml:space="preserve">: </w:t>
      </w:r>
      <w:r w:rsidR="00592C70">
        <w:t>Percentage change in rate in the analyzed case versus the base case and the breakdown there of</w:t>
      </w:r>
    </w:p>
    <w:p w14:paraId="0669B81C" w14:textId="68722430" w:rsidR="00453123" w:rsidRDefault="00201F9C" w:rsidP="00E22B98">
      <w:pPr>
        <w:pStyle w:val="BodyText"/>
        <w:spacing w:line="276" w:lineRule="auto"/>
        <w:ind w:firstLine="720"/>
      </w:pPr>
      <w:r>
        <w:t xml:space="preserve">The first graph, </w:t>
      </w:r>
      <w:r w:rsidR="00592C70">
        <w:t>Percent</w:t>
      </w:r>
      <w:r>
        <w:t xml:space="preserve"> Rate Difference, shows the difference </w:t>
      </w:r>
      <w:r w:rsidR="006A48C0">
        <w:t xml:space="preserve">in the electricity rate </w:t>
      </w:r>
      <w:r>
        <w:t xml:space="preserve">between the base case and the energy efficiency case as a percent of the base case rate. Positive percentages are an increase in rates over the base case and negative percentages are a decrease in rates over the base case. This difference is shown for all years of the analysis. </w:t>
      </w:r>
    </w:p>
    <w:p w14:paraId="3F2B1F7F" w14:textId="60D2CFD1" w:rsidR="00592C70" w:rsidRDefault="00201F9C" w:rsidP="00E22B98">
      <w:pPr>
        <w:pStyle w:val="BodyText"/>
        <w:spacing w:line="276" w:lineRule="auto"/>
        <w:ind w:firstLine="720"/>
      </w:pPr>
      <w:r>
        <w:t xml:space="preserve">The second graph, </w:t>
      </w:r>
      <w:r w:rsidR="00592C70">
        <w:t xml:space="preserve">Rate Impact Breakdown, shows the various factors that add up to make the percent rate difference between the base case and the energy efficient case. The different factors shows are the incentive, the shift in use, recovery of lost fixed cost, and recovery of program costs. Each are shown in their entirety for the all years of the analysis. </w:t>
      </w:r>
    </w:p>
    <w:p w14:paraId="127B625D" w14:textId="77777777" w:rsidR="00592C70" w:rsidRDefault="00592C70" w:rsidP="00E22B98">
      <w:pPr>
        <w:pStyle w:val="BodyText"/>
        <w:spacing w:line="276" w:lineRule="auto"/>
        <w:ind w:firstLine="720"/>
      </w:pPr>
    </w:p>
    <w:p w14:paraId="1DE262CA" w14:textId="274B0339" w:rsidR="006A44C5" w:rsidRDefault="006A44C5" w:rsidP="00E22B98">
      <w:pPr>
        <w:pStyle w:val="BodyText"/>
        <w:spacing w:line="276" w:lineRule="auto"/>
        <w:ind w:firstLine="720"/>
      </w:pPr>
      <w:r>
        <w:t xml:space="preserve">The second </w:t>
      </w:r>
      <w:r w:rsidR="00BB2D45">
        <w:t>set of outputs, Rate Comparison and Rate Breakdown, are a look at</w:t>
      </w:r>
      <w:r>
        <w:t xml:space="preserve"> the </w:t>
      </w:r>
      <w:r w:rsidR="0052708D">
        <w:t>actual rates</w:t>
      </w:r>
      <w:r w:rsidR="00BB2D45">
        <w:t>. First is a look at the actual rates in both cases and second a breakdown of the efficiency case rates. Both can be seen below (Figure 2).</w:t>
      </w:r>
      <w:r w:rsidR="00FB6D2F">
        <w:t xml:space="preserve"> </w:t>
      </w:r>
    </w:p>
    <w:p w14:paraId="10F4B27B" w14:textId="4D5DCDD0" w:rsidR="006A44C5" w:rsidRDefault="0052708D" w:rsidP="00E22B98">
      <w:pPr>
        <w:pStyle w:val="BodyText"/>
        <w:keepNext/>
        <w:spacing w:line="276" w:lineRule="auto"/>
        <w:jc w:val="center"/>
      </w:pPr>
      <w:r>
        <w:rPr>
          <w:noProof/>
          <w:lang w:eastAsia="en-US"/>
        </w:rPr>
        <w:drawing>
          <wp:inline distT="0" distB="0" distL="0" distR="0" wp14:anchorId="73CF2A13" wp14:editId="65D2C6A3">
            <wp:extent cx="2706370" cy="1739900"/>
            <wp:effectExtent l="0" t="0" r="3683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eastAsia="en-US"/>
        </w:rPr>
        <w:drawing>
          <wp:inline distT="0" distB="0" distL="0" distR="0" wp14:anchorId="28F0E205" wp14:editId="3A8B6660">
            <wp:extent cx="2705100" cy="1737360"/>
            <wp:effectExtent l="0" t="0" r="12700" b="152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66FDD05" w14:textId="77777777" w:rsidR="00201F9C" w:rsidRPr="00B8280C" w:rsidRDefault="006A44C5" w:rsidP="00E22B98">
      <w:pPr>
        <w:pStyle w:val="Caption"/>
        <w:spacing w:line="276" w:lineRule="auto"/>
        <w:jc w:val="center"/>
        <w:rPr>
          <w:sz w:val="20"/>
          <w:szCs w:val="20"/>
        </w:rPr>
      </w:pPr>
      <w:r w:rsidRPr="006A44C5">
        <w:rPr>
          <w:sz w:val="20"/>
          <w:szCs w:val="20"/>
        </w:rPr>
        <w:t xml:space="preserve">Figure </w:t>
      </w:r>
      <w:r w:rsidRPr="006A44C5">
        <w:rPr>
          <w:sz w:val="20"/>
          <w:szCs w:val="20"/>
        </w:rPr>
        <w:fldChar w:fldCharType="begin"/>
      </w:r>
      <w:r w:rsidRPr="006A44C5">
        <w:rPr>
          <w:sz w:val="20"/>
          <w:szCs w:val="20"/>
        </w:rPr>
        <w:instrText xml:space="preserve"> SEQ Figure \* ARABIC </w:instrText>
      </w:r>
      <w:r w:rsidRPr="006A44C5">
        <w:rPr>
          <w:sz w:val="20"/>
          <w:szCs w:val="20"/>
        </w:rPr>
        <w:fldChar w:fldCharType="separate"/>
      </w:r>
      <w:r w:rsidR="00D757B6">
        <w:rPr>
          <w:noProof/>
          <w:sz w:val="20"/>
          <w:szCs w:val="20"/>
        </w:rPr>
        <w:t>2</w:t>
      </w:r>
      <w:r w:rsidRPr="006A44C5">
        <w:rPr>
          <w:sz w:val="20"/>
          <w:szCs w:val="20"/>
        </w:rPr>
        <w:fldChar w:fldCharType="end"/>
      </w:r>
      <w:r w:rsidRPr="006A44C5">
        <w:rPr>
          <w:sz w:val="20"/>
          <w:szCs w:val="20"/>
        </w:rPr>
        <w:t>: Third Rate Impact Module output graph</w:t>
      </w:r>
    </w:p>
    <w:p w14:paraId="2EE7F055" w14:textId="77777777" w:rsidR="00BB2D45" w:rsidRDefault="00BB2D45" w:rsidP="00BB2D45">
      <w:pPr>
        <w:pStyle w:val="BodyText"/>
        <w:spacing w:line="276" w:lineRule="auto"/>
        <w:ind w:firstLine="720"/>
      </w:pPr>
      <w:r>
        <w:t xml:space="preserve">The first graph, Rate Comparison, shows both the base case and energy efficiency case rates side by side for each year of the analysis. The point of showing this as well as the graph of percentage difference in rates is to give a sense of scale and show the overall trend of rates. </w:t>
      </w:r>
    </w:p>
    <w:p w14:paraId="4BC7111A" w14:textId="78E82E10" w:rsidR="00BB2D45" w:rsidRDefault="00BB2D45" w:rsidP="00BB2D45">
      <w:pPr>
        <w:pStyle w:val="BodyText"/>
        <w:spacing w:line="276" w:lineRule="auto"/>
        <w:ind w:firstLine="720"/>
      </w:pPr>
      <w:r>
        <w:t xml:space="preserve">The second graph, Rate Breakdown, shows the value of each component that makes up the electricity rate in the analysis. Any that are not used will still appear in the legend but will simply be blank in the actual chart. This information is shown for each year of the analysis. </w:t>
      </w:r>
    </w:p>
    <w:p w14:paraId="5C7ED577" w14:textId="77777777" w:rsidR="00FB6D2F" w:rsidRDefault="00FB6D2F" w:rsidP="00E22B98">
      <w:pPr>
        <w:pStyle w:val="BodyText"/>
        <w:spacing w:line="276" w:lineRule="auto"/>
        <w:ind w:firstLine="720"/>
      </w:pPr>
      <w:r>
        <w:t xml:space="preserve">The third category of output from the Rate Impact module is the levelized cost of energy efficiency. All values shown include the cost of the energy efficiency program and the energy savings valued at the variable cost rate. </w:t>
      </w:r>
    </w:p>
    <w:p w14:paraId="08D02F78" w14:textId="77777777" w:rsidR="00FB6D2F" w:rsidRDefault="00FB6D2F" w:rsidP="00E22B98">
      <w:pPr>
        <w:pStyle w:val="BodyText"/>
        <w:spacing w:line="276" w:lineRule="auto"/>
        <w:ind w:firstLine="720"/>
      </w:pPr>
      <w:r>
        <w:t xml:space="preserve">The first output is a single aggregated levelized cost value for all years of the program for the customer class.  </w:t>
      </w:r>
    </w:p>
    <w:p w14:paraId="35B9BE06" w14:textId="77777777" w:rsidR="00FB6D2F" w:rsidRPr="00464130" w:rsidRDefault="00A76890" w:rsidP="00E22B98">
      <w:pPr>
        <w:pStyle w:val="BodyText"/>
        <w:keepNext/>
        <w:spacing w:line="276" w:lineRule="auto"/>
        <w:jc w:val="center"/>
      </w:pPr>
      <w:r>
        <w:rPr>
          <w:noProof/>
          <w:lang w:eastAsia="en-US"/>
        </w:rPr>
        <w:drawing>
          <wp:inline distT="0" distB="0" distL="0" distR="0" wp14:anchorId="46A68F5D" wp14:editId="0CF1B08D">
            <wp:extent cx="3104515" cy="24590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1-01 at 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104515" cy="245902"/>
                    </a:xfrm>
                    <a:prstGeom prst="rect">
                      <a:avLst/>
                    </a:prstGeom>
                    <a:noFill/>
                    <a:ln>
                      <a:noFill/>
                    </a:ln>
                  </pic:spPr>
                </pic:pic>
              </a:graphicData>
            </a:graphic>
          </wp:inline>
        </w:drawing>
      </w:r>
    </w:p>
    <w:p w14:paraId="31BBC532" w14:textId="77777777" w:rsidR="00FB6D2F" w:rsidRPr="00FB6D2F" w:rsidRDefault="00FB6D2F" w:rsidP="00E22B98">
      <w:pPr>
        <w:pStyle w:val="Caption"/>
        <w:spacing w:line="276" w:lineRule="auto"/>
        <w:jc w:val="center"/>
        <w:rPr>
          <w:sz w:val="20"/>
          <w:szCs w:val="20"/>
        </w:rPr>
      </w:pPr>
      <w:r w:rsidRPr="00FB6D2F">
        <w:rPr>
          <w:sz w:val="20"/>
          <w:szCs w:val="20"/>
        </w:rPr>
        <w:t xml:space="preserve">Figure </w:t>
      </w:r>
      <w:r w:rsidRPr="00FB6D2F">
        <w:rPr>
          <w:sz w:val="20"/>
          <w:szCs w:val="20"/>
        </w:rPr>
        <w:fldChar w:fldCharType="begin"/>
      </w:r>
      <w:r w:rsidRPr="00FB6D2F">
        <w:rPr>
          <w:sz w:val="20"/>
          <w:szCs w:val="20"/>
        </w:rPr>
        <w:instrText xml:space="preserve"> SEQ Figure \* ARABIC </w:instrText>
      </w:r>
      <w:r w:rsidRPr="00FB6D2F">
        <w:rPr>
          <w:sz w:val="20"/>
          <w:szCs w:val="20"/>
        </w:rPr>
        <w:fldChar w:fldCharType="separate"/>
      </w:r>
      <w:r w:rsidR="00D757B6">
        <w:rPr>
          <w:noProof/>
          <w:sz w:val="20"/>
          <w:szCs w:val="20"/>
        </w:rPr>
        <w:t>3</w:t>
      </w:r>
      <w:r w:rsidRPr="00FB6D2F">
        <w:rPr>
          <w:sz w:val="20"/>
          <w:szCs w:val="20"/>
        </w:rPr>
        <w:fldChar w:fldCharType="end"/>
      </w:r>
      <w:r w:rsidRPr="00FB6D2F">
        <w:rPr>
          <w:sz w:val="20"/>
          <w:szCs w:val="20"/>
        </w:rPr>
        <w:t>: Fourth Rate Impact Module output</w:t>
      </w:r>
    </w:p>
    <w:p w14:paraId="0B88E0EA" w14:textId="6637E634" w:rsidR="00FB6D2F" w:rsidRDefault="00FB6D2F" w:rsidP="00E22B98">
      <w:pPr>
        <w:pStyle w:val="BodyText"/>
        <w:spacing w:line="276" w:lineRule="auto"/>
        <w:ind w:firstLine="720"/>
      </w:pPr>
      <w:r>
        <w:t xml:space="preserve">The second output for levelized cost of </w:t>
      </w:r>
      <w:r w:rsidR="00365FE6">
        <w:t xml:space="preserve">electricity </w:t>
      </w:r>
      <w:r w:rsidR="00423662">
        <w:t>saved</w:t>
      </w:r>
      <w:r>
        <w:t xml:space="preserve"> in the Rate Impact m</w:t>
      </w:r>
      <w:r w:rsidR="00464130">
        <w:t xml:space="preserve">odule shows the levelized cost </w:t>
      </w:r>
      <w:r>
        <w:t>for each year of the program</w:t>
      </w:r>
      <w:r w:rsidR="00B8280C">
        <w:t>. These values take into account the full lifetime of the measures installed in each year of the program.</w:t>
      </w:r>
    </w:p>
    <w:p w14:paraId="1D292B01" w14:textId="56734884" w:rsidR="00B8280C" w:rsidRDefault="003E5C44" w:rsidP="00E22B98">
      <w:pPr>
        <w:pStyle w:val="BodyText"/>
        <w:keepNext/>
        <w:spacing w:line="276" w:lineRule="auto"/>
        <w:jc w:val="center"/>
      </w:pPr>
      <w:r w:rsidRPr="003E5C44">
        <w:rPr>
          <w:noProof/>
          <w:lang w:eastAsia="en-US"/>
        </w:rPr>
        <w:t xml:space="preserve"> </w:t>
      </w:r>
      <w:r>
        <w:rPr>
          <w:noProof/>
          <w:lang w:eastAsia="en-US"/>
        </w:rPr>
        <w:drawing>
          <wp:inline distT="0" distB="0" distL="0" distR="0" wp14:anchorId="35827D88" wp14:editId="592CD7B7">
            <wp:extent cx="2705100" cy="1705594"/>
            <wp:effectExtent l="0" t="0" r="12700" b="222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F638F77" w14:textId="77777777" w:rsidR="00B8280C" w:rsidRPr="00B8280C" w:rsidRDefault="00B8280C" w:rsidP="00E22B98">
      <w:pPr>
        <w:pStyle w:val="Caption"/>
        <w:spacing w:line="276" w:lineRule="auto"/>
        <w:jc w:val="center"/>
        <w:rPr>
          <w:sz w:val="20"/>
          <w:szCs w:val="20"/>
        </w:rPr>
      </w:pPr>
      <w:r w:rsidRPr="00B8280C">
        <w:rPr>
          <w:sz w:val="20"/>
          <w:szCs w:val="20"/>
        </w:rPr>
        <w:t xml:space="preserve">Figure </w:t>
      </w:r>
      <w:r w:rsidRPr="00B8280C">
        <w:rPr>
          <w:sz w:val="20"/>
          <w:szCs w:val="20"/>
        </w:rPr>
        <w:fldChar w:fldCharType="begin"/>
      </w:r>
      <w:r w:rsidRPr="00B8280C">
        <w:rPr>
          <w:sz w:val="20"/>
          <w:szCs w:val="20"/>
        </w:rPr>
        <w:instrText xml:space="preserve"> SEQ Figure \* ARABIC </w:instrText>
      </w:r>
      <w:r w:rsidRPr="00B8280C">
        <w:rPr>
          <w:sz w:val="20"/>
          <w:szCs w:val="20"/>
        </w:rPr>
        <w:fldChar w:fldCharType="separate"/>
      </w:r>
      <w:r w:rsidR="00D757B6">
        <w:rPr>
          <w:noProof/>
          <w:sz w:val="20"/>
          <w:szCs w:val="20"/>
        </w:rPr>
        <w:t>4</w:t>
      </w:r>
      <w:r w:rsidRPr="00B8280C">
        <w:rPr>
          <w:sz w:val="20"/>
          <w:szCs w:val="20"/>
        </w:rPr>
        <w:fldChar w:fldCharType="end"/>
      </w:r>
      <w:r w:rsidRPr="00B8280C">
        <w:rPr>
          <w:sz w:val="20"/>
          <w:szCs w:val="20"/>
        </w:rPr>
        <w:t>: Fifth Rate Impact Module output graph</w:t>
      </w:r>
    </w:p>
    <w:p w14:paraId="0D9F13AB" w14:textId="7C7A1B63" w:rsidR="00C44DE3" w:rsidRDefault="00C44DE3" w:rsidP="00E22B98">
      <w:pPr>
        <w:pStyle w:val="Heading3"/>
        <w:spacing w:line="276" w:lineRule="auto"/>
      </w:pPr>
      <w:bookmarkStart w:id="78" w:name="_Toc278464924"/>
      <w:r>
        <w:t>Bill Impact Module</w:t>
      </w:r>
      <w:bookmarkEnd w:id="78"/>
    </w:p>
    <w:p w14:paraId="2AC22D09" w14:textId="1EC988DC" w:rsidR="00C44DE3" w:rsidRDefault="00B8280C" w:rsidP="00E22B98">
      <w:pPr>
        <w:pStyle w:val="BodyText"/>
        <w:spacing w:line="276" w:lineRule="auto"/>
        <w:ind w:firstLine="720"/>
      </w:pPr>
      <w:r>
        <w:t>The Bill Impact Module outputs show</w:t>
      </w:r>
      <w:r w:rsidR="0088499E">
        <w:t xml:space="preserve"> (a)</w:t>
      </w:r>
      <w:r>
        <w:t xml:space="preserve"> the </w:t>
      </w:r>
      <w:r w:rsidR="0088499E">
        <w:t>average difference</w:t>
      </w:r>
      <w:r>
        <w:t xml:space="preserve"> between bills in the base case and the energy efficiency case, </w:t>
      </w:r>
      <w:r w:rsidR="0088499E">
        <w:t>(b)</w:t>
      </w:r>
      <w:r>
        <w:t xml:space="preserve"> cumulative bill savings in the energy efficiency case as opposed to the base case, </w:t>
      </w:r>
      <w:r w:rsidR="0088499E">
        <w:t xml:space="preserve">(c) </w:t>
      </w:r>
      <w:r>
        <w:t xml:space="preserve">a comparison of </w:t>
      </w:r>
      <w:r w:rsidR="0088499E">
        <w:t>the average bill difference</w:t>
      </w:r>
      <w:r>
        <w:t xml:space="preserve"> between participants and non-participants, and</w:t>
      </w:r>
      <w:r w:rsidR="0088499E">
        <w:t xml:space="preserve"> (d)</w:t>
      </w:r>
      <w:r>
        <w:t xml:space="preserve"> the portion of all customers in the customer class that end up participating in the program.</w:t>
      </w:r>
    </w:p>
    <w:p w14:paraId="764688A9" w14:textId="77777777" w:rsidR="00B8280C" w:rsidRDefault="00B8280C" w:rsidP="00E22B98">
      <w:pPr>
        <w:pStyle w:val="BodyText"/>
        <w:spacing w:line="276" w:lineRule="auto"/>
        <w:ind w:firstLine="720"/>
      </w:pPr>
      <w:r>
        <w:t xml:space="preserve">The first output </w:t>
      </w:r>
      <w:r w:rsidR="006A48C0">
        <w:t xml:space="preserve">from the Bill Impact Module </w:t>
      </w:r>
      <w:r>
        <w:t xml:space="preserve">shows the difference between the average bill of all customers in the customer class in the base case and the energy efficiency case as a percent of the base case average bill. Positive percentages are an increase in </w:t>
      </w:r>
      <w:r w:rsidR="006A48C0">
        <w:t>bill</w:t>
      </w:r>
      <w:r>
        <w:t xml:space="preserve">s over the base case and negative percentages are a decrease in </w:t>
      </w:r>
      <w:r w:rsidR="006A48C0">
        <w:t>bill</w:t>
      </w:r>
      <w:r>
        <w:t>s over the base case. This difference is shown for all years of the analysis.</w:t>
      </w:r>
    </w:p>
    <w:p w14:paraId="0AF5A5CC" w14:textId="60BD816A" w:rsidR="006A48C0" w:rsidRDefault="003E5C44" w:rsidP="00E22B98">
      <w:pPr>
        <w:pStyle w:val="BodyText"/>
        <w:keepNext/>
        <w:spacing w:line="276" w:lineRule="auto"/>
        <w:jc w:val="center"/>
      </w:pPr>
      <w:r w:rsidRPr="003E5C44">
        <w:rPr>
          <w:noProof/>
          <w:lang w:eastAsia="en-US"/>
        </w:rPr>
        <w:t xml:space="preserve"> </w:t>
      </w:r>
      <w:r>
        <w:rPr>
          <w:noProof/>
          <w:lang w:eastAsia="en-US"/>
        </w:rPr>
        <w:drawing>
          <wp:inline distT="0" distB="0" distL="0" distR="0" wp14:anchorId="0AA907F4" wp14:editId="621B4217">
            <wp:extent cx="2705100" cy="1700327"/>
            <wp:effectExtent l="0" t="0" r="12700" b="273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CE633E4" w14:textId="77777777" w:rsidR="00B8280C" w:rsidRPr="006A48C0" w:rsidRDefault="006A48C0" w:rsidP="00E22B98">
      <w:pPr>
        <w:pStyle w:val="Caption"/>
        <w:spacing w:line="276" w:lineRule="auto"/>
        <w:jc w:val="center"/>
        <w:rPr>
          <w:sz w:val="20"/>
          <w:szCs w:val="20"/>
        </w:rPr>
      </w:pPr>
      <w:r w:rsidRPr="006A48C0">
        <w:rPr>
          <w:sz w:val="20"/>
          <w:szCs w:val="20"/>
        </w:rPr>
        <w:t xml:space="preserve">Figure </w:t>
      </w:r>
      <w:r w:rsidRPr="006A48C0">
        <w:rPr>
          <w:sz w:val="20"/>
          <w:szCs w:val="20"/>
        </w:rPr>
        <w:fldChar w:fldCharType="begin"/>
      </w:r>
      <w:r w:rsidRPr="006A48C0">
        <w:rPr>
          <w:sz w:val="20"/>
          <w:szCs w:val="20"/>
        </w:rPr>
        <w:instrText xml:space="preserve"> SEQ Figure \* ARABIC </w:instrText>
      </w:r>
      <w:r w:rsidRPr="006A48C0">
        <w:rPr>
          <w:sz w:val="20"/>
          <w:szCs w:val="20"/>
        </w:rPr>
        <w:fldChar w:fldCharType="separate"/>
      </w:r>
      <w:r w:rsidR="00D757B6">
        <w:rPr>
          <w:noProof/>
          <w:sz w:val="20"/>
          <w:szCs w:val="20"/>
        </w:rPr>
        <w:t>5</w:t>
      </w:r>
      <w:r w:rsidRPr="006A48C0">
        <w:rPr>
          <w:sz w:val="20"/>
          <w:szCs w:val="20"/>
        </w:rPr>
        <w:fldChar w:fldCharType="end"/>
      </w:r>
      <w:r w:rsidRPr="006A48C0">
        <w:rPr>
          <w:sz w:val="20"/>
          <w:szCs w:val="20"/>
        </w:rPr>
        <w:t>: First Bill Impact Module output graph</w:t>
      </w:r>
    </w:p>
    <w:p w14:paraId="76616ED1" w14:textId="77777777" w:rsidR="006A48C0" w:rsidRDefault="006A48C0" w:rsidP="00E22B98">
      <w:pPr>
        <w:pStyle w:val="BodyText"/>
        <w:spacing w:line="276" w:lineRule="auto"/>
        <w:ind w:firstLine="720"/>
      </w:pPr>
      <w:r>
        <w:t xml:space="preserve">The second output from the Bill Impact Module shows the total cumulative bill savings for all customers in the customer class across all years of the analysis. The value is in year zero dollars, calculated using the discount rate from the Levelized Cost of Energy Efficiency sub-module (see 2.1.1.4). </w:t>
      </w:r>
    </w:p>
    <w:p w14:paraId="12E54296" w14:textId="77777777" w:rsidR="006A48C0" w:rsidRDefault="00A76890" w:rsidP="00E22B98">
      <w:pPr>
        <w:pStyle w:val="BodyText"/>
        <w:keepNext/>
        <w:spacing w:line="276" w:lineRule="auto"/>
        <w:jc w:val="center"/>
      </w:pPr>
      <w:r>
        <w:rPr>
          <w:noProof/>
          <w:lang w:eastAsia="en-US"/>
        </w:rPr>
        <w:drawing>
          <wp:inline distT="0" distB="0" distL="0" distR="0" wp14:anchorId="405DD6FA" wp14:editId="69E0A6A2">
            <wp:extent cx="3219450" cy="2378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1-01 at 6"/>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219450" cy="237890"/>
                    </a:xfrm>
                    <a:prstGeom prst="rect">
                      <a:avLst/>
                    </a:prstGeom>
                    <a:noFill/>
                    <a:ln>
                      <a:noFill/>
                    </a:ln>
                  </pic:spPr>
                </pic:pic>
              </a:graphicData>
            </a:graphic>
          </wp:inline>
        </w:drawing>
      </w:r>
    </w:p>
    <w:p w14:paraId="0038354F" w14:textId="77777777" w:rsidR="006A48C0" w:rsidRPr="006A48C0" w:rsidRDefault="006A48C0" w:rsidP="00E22B98">
      <w:pPr>
        <w:pStyle w:val="Caption"/>
        <w:spacing w:line="276" w:lineRule="auto"/>
        <w:jc w:val="center"/>
        <w:rPr>
          <w:sz w:val="20"/>
          <w:szCs w:val="20"/>
        </w:rPr>
      </w:pPr>
      <w:r w:rsidRPr="006A48C0">
        <w:rPr>
          <w:sz w:val="20"/>
          <w:szCs w:val="20"/>
        </w:rPr>
        <w:t xml:space="preserve">Figure </w:t>
      </w:r>
      <w:r w:rsidRPr="006A48C0">
        <w:rPr>
          <w:sz w:val="20"/>
          <w:szCs w:val="20"/>
        </w:rPr>
        <w:fldChar w:fldCharType="begin"/>
      </w:r>
      <w:r w:rsidRPr="006A48C0">
        <w:rPr>
          <w:sz w:val="20"/>
          <w:szCs w:val="20"/>
        </w:rPr>
        <w:instrText xml:space="preserve"> SEQ Figure \* ARABIC </w:instrText>
      </w:r>
      <w:r w:rsidRPr="006A48C0">
        <w:rPr>
          <w:sz w:val="20"/>
          <w:szCs w:val="20"/>
        </w:rPr>
        <w:fldChar w:fldCharType="separate"/>
      </w:r>
      <w:r w:rsidR="00D757B6">
        <w:rPr>
          <w:noProof/>
          <w:sz w:val="20"/>
          <w:szCs w:val="20"/>
        </w:rPr>
        <w:t>6</w:t>
      </w:r>
      <w:r w:rsidRPr="006A48C0">
        <w:rPr>
          <w:sz w:val="20"/>
          <w:szCs w:val="20"/>
        </w:rPr>
        <w:fldChar w:fldCharType="end"/>
      </w:r>
      <w:r w:rsidRPr="006A48C0">
        <w:rPr>
          <w:sz w:val="20"/>
          <w:szCs w:val="20"/>
        </w:rPr>
        <w:t>: Second Bill Impact Module output</w:t>
      </w:r>
    </w:p>
    <w:p w14:paraId="0761CFC0" w14:textId="77777777" w:rsidR="006A48C0" w:rsidRDefault="006A48C0" w:rsidP="00E22B98">
      <w:pPr>
        <w:pStyle w:val="BodyText"/>
        <w:spacing w:line="276" w:lineRule="auto"/>
        <w:ind w:firstLine="720"/>
      </w:pPr>
      <w:r>
        <w:t>The third output from the Bill Impact Module shows the percentage change of average bills from the base case to the energy efficiency case for participants, non-participants, and all customers in the customer class. Positive percentages are an increase in bills over the base case and negative percentages are a decrease in bills over the base case. This difference is shown for all years of the analysis.</w:t>
      </w:r>
    </w:p>
    <w:p w14:paraId="4E6BA722" w14:textId="5C78F835" w:rsidR="006A48C0" w:rsidRDefault="00DC545E" w:rsidP="00E22B98">
      <w:pPr>
        <w:pStyle w:val="BodyText"/>
        <w:keepNext/>
        <w:spacing w:line="276" w:lineRule="auto"/>
        <w:jc w:val="center"/>
      </w:pPr>
      <w:r w:rsidRPr="00DC545E">
        <w:rPr>
          <w:noProof/>
          <w:lang w:eastAsia="en-US"/>
        </w:rPr>
        <w:t xml:space="preserve"> </w:t>
      </w:r>
      <w:r>
        <w:rPr>
          <w:noProof/>
          <w:lang w:eastAsia="en-US"/>
        </w:rPr>
        <w:drawing>
          <wp:inline distT="0" distB="0" distL="0" distR="0" wp14:anchorId="1B2B3A1D" wp14:editId="4AC35541">
            <wp:extent cx="2705100" cy="1698910"/>
            <wp:effectExtent l="0" t="0" r="12700" b="285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2F795EB" w14:textId="77777777" w:rsidR="006A48C0" w:rsidRPr="006A48C0" w:rsidRDefault="006A48C0" w:rsidP="00E22B98">
      <w:pPr>
        <w:pStyle w:val="Caption"/>
        <w:spacing w:line="276" w:lineRule="auto"/>
        <w:jc w:val="center"/>
        <w:rPr>
          <w:sz w:val="20"/>
          <w:szCs w:val="20"/>
        </w:rPr>
      </w:pPr>
      <w:r w:rsidRPr="006A48C0">
        <w:rPr>
          <w:sz w:val="20"/>
          <w:szCs w:val="20"/>
        </w:rPr>
        <w:t xml:space="preserve">Figure </w:t>
      </w:r>
      <w:r w:rsidRPr="006A48C0">
        <w:rPr>
          <w:sz w:val="20"/>
          <w:szCs w:val="20"/>
        </w:rPr>
        <w:fldChar w:fldCharType="begin"/>
      </w:r>
      <w:r w:rsidRPr="006A48C0">
        <w:rPr>
          <w:sz w:val="20"/>
          <w:szCs w:val="20"/>
        </w:rPr>
        <w:instrText xml:space="preserve"> SEQ Figure \* ARABIC </w:instrText>
      </w:r>
      <w:r w:rsidRPr="006A48C0">
        <w:rPr>
          <w:sz w:val="20"/>
          <w:szCs w:val="20"/>
        </w:rPr>
        <w:fldChar w:fldCharType="separate"/>
      </w:r>
      <w:r w:rsidR="00D757B6">
        <w:rPr>
          <w:noProof/>
          <w:sz w:val="20"/>
          <w:szCs w:val="20"/>
        </w:rPr>
        <w:t>7</w:t>
      </w:r>
      <w:r w:rsidRPr="006A48C0">
        <w:rPr>
          <w:sz w:val="20"/>
          <w:szCs w:val="20"/>
        </w:rPr>
        <w:fldChar w:fldCharType="end"/>
      </w:r>
      <w:r w:rsidRPr="006A48C0">
        <w:rPr>
          <w:sz w:val="20"/>
          <w:szCs w:val="20"/>
        </w:rPr>
        <w:t>: Third Bill Impact Module output graph</w:t>
      </w:r>
    </w:p>
    <w:p w14:paraId="3F3F0301" w14:textId="77777777" w:rsidR="006A48C0" w:rsidRDefault="006A48C0" w:rsidP="00E22B98">
      <w:pPr>
        <w:pStyle w:val="BodyText"/>
        <w:spacing w:line="276" w:lineRule="auto"/>
        <w:ind w:firstLine="720"/>
      </w:pPr>
      <w:r>
        <w:t xml:space="preserve">The fourth and final output from the Bill Impact Module shows the number of customers projected in the analysis as well as the </w:t>
      </w:r>
      <w:r w:rsidR="001855C5">
        <w:t xml:space="preserve">number and proportion of participating customers. </w:t>
      </w:r>
    </w:p>
    <w:p w14:paraId="6F6324C3" w14:textId="541FD86C" w:rsidR="001855C5" w:rsidRDefault="00DC545E" w:rsidP="00E22B98">
      <w:pPr>
        <w:pStyle w:val="BodyText"/>
        <w:keepNext/>
        <w:spacing w:line="276" w:lineRule="auto"/>
        <w:jc w:val="center"/>
      </w:pPr>
      <w:r w:rsidRPr="00DC545E">
        <w:rPr>
          <w:noProof/>
          <w:lang w:eastAsia="en-US"/>
        </w:rPr>
        <w:t xml:space="preserve"> </w:t>
      </w:r>
      <w:r>
        <w:rPr>
          <w:noProof/>
          <w:lang w:eastAsia="en-US"/>
        </w:rPr>
        <w:drawing>
          <wp:inline distT="0" distB="0" distL="0" distR="0" wp14:anchorId="08AE7A8B" wp14:editId="1583CDC7">
            <wp:extent cx="2705100" cy="1700327"/>
            <wp:effectExtent l="0" t="0" r="12700" b="273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9864027" w14:textId="77777777" w:rsidR="001855C5" w:rsidRPr="001855C5" w:rsidRDefault="001855C5" w:rsidP="00E22B98">
      <w:pPr>
        <w:pStyle w:val="Caption"/>
        <w:spacing w:line="276" w:lineRule="auto"/>
        <w:jc w:val="center"/>
        <w:rPr>
          <w:sz w:val="20"/>
          <w:szCs w:val="20"/>
        </w:rPr>
      </w:pPr>
      <w:r w:rsidRPr="001855C5">
        <w:rPr>
          <w:sz w:val="20"/>
          <w:szCs w:val="20"/>
        </w:rPr>
        <w:t xml:space="preserve">Figure </w:t>
      </w:r>
      <w:r w:rsidRPr="001855C5">
        <w:rPr>
          <w:sz w:val="20"/>
          <w:szCs w:val="20"/>
        </w:rPr>
        <w:fldChar w:fldCharType="begin"/>
      </w:r>
      <w:r w:rsidRPr="001855C5">
        <w:rPr>
          <w:sz w:val="20"/>
          <w:szCs w:val="20"/>
        </w:rPr>
        <w:instrText xml:space="preserve"> SEQ Figure \* ARABIC </w:instrText>
      </w:r>
      <w:r w:rsidRPr="001855C5">
        <w:rPr>
          <w:sz w:val="20"/>
          <w:szCs w:val="20"/>
        </w:rPr>
        <w:fldChar w:fldCharType="separate"/>
      </w:r>
      <w:r w:rsidR="00D757B6">
        <w:rPr>
          <w:noProof/>
          <w:sz w:val="20"/>
          <w:szCs w:val="20"/>
        </w:rPr>
        <w:t>8</w:t>
      </w:r>
      <w:r w:rsidRPr="001855C5">
        <w:rPr>
          <w:sz w:val="20"/>
          <w:szCs w:val="20"/>
        </w:rPr>
        <w:fldChar w:fldCharType="end"/>
      </w:r>
      <w:r w:rsidRPr="001855C5">
        <w:rPr>
          <w:sz w:val="20"/>
          <w:szCs w:val="20"/>
        </w:rPr>
        <w:t>: Fourth Bill Impact Module output graph</w:t>
      </w:r>
    </w:p>
    <w:p w14:paraId="3E5806FD" w14:textId="221FC511" w:rsidR="00D36CEE" w:rsidRDefault="00D36CEE">
      <w:pPr>
        <w:suppressAutoHyphens w:val="0"/>
      </w:pPr>
      <w:r>
        <w:br w:type="page"/>
      </w:r>
    </w:p>
    <w:p w14:paraId="5210E430" w14:textId="6DB69943" w:rsidR="00C11BAB" w:rsidRDefault="001E56D8" w:rsidP="00D36CEE">
      <w:pPr>
        <w:pStyle w:val="Heading2"/>
      </w:pPr>
      <w:bookmarkStart w:id="79" w:name="__RefHeading__744_1188058509"/>
      <w:bookmarkStart w:id="80" w:name="_Toc376263715"/>
      <w:bookmarkStart w:id="81" w:name="_Toc376263779"/>
      <w:bookmarkStart w:id="82" w:name="_Toc278464925"/>
      <w:bookmarkEnd w:id="79"/>
      <w:r>
        <w:t>Utility Sector</w:t>
      </w:r>
      <w:bookmarkEnd w:id="80"/>
      <w:bookmarkEnd w:id="81"/>
      <w:bookmarkEnd w:id="82"/>
    </w:p>
    <w:p w14:paraId="6D0EDBD4" w14:textId="77777777" w:rsidR="00C11BAB" w:rsidRPr="00C11BAB" w:rsidRDefault="00C11BAB" w:rsidP="00E22B98">
      <w:pPr>
        <w:pStyle w:val="BodyText"/>
        <w:spacing w:line="276" w:lineRule="auto"/>
        <w:ind w:firstLine="576"/>
      </w:pPr>
      <w:r>
        <w:t>The Utility Sector outputs are split into two parts: outputs from the Utility Impact module and outputs from the Capital Investment Deferral module.</w:t>
      </w:r>
    </w:p>
    <w:p w14:paraId="6E143E69" w14:textId="131A7260" w:rsidR="00C11BAB" w:rsidRDefault="00C11BAB" w:rsidP="00E22B98">
      <w:pPr>
        <w:pStyle w:val="Heading3"/>
        <w:spacing w:line="276" w:lineRule="auto"/>
      </w:pPr>
      <w:bookmarkStart w:id="83" w:name="_Toc278464926"/>
      <w:r>
        <w:t>Utility Impact Module</w:t>
      </w:r>
      <w:bookmarkEnd w:id="83"/>
    </w:p>
    <w:p w14:paraId="19AB3FA7" w14:textId="34941EDD" w:rsidR="00C11BAB" w:rsidRDefault="005C45B8" w:rsidP="00E22B98">
      <w:pPr>
        <w:pStyle w:val="BodyText"/>
        <w:spacing w:line="276" w:lineRule="auto"/>
        <w:ind w:firstLine="720"/>
      </w:pPr>
      <w:r>
        <w:t xml:space="preserve">The Utility Impact Module outputs show a comparison of </w:t>
      </w:r>
      <w:r w:rsidR="007544F1">
        <w:t>earnings and return on equity</w:t>
      </w:r>
      <w:r>
        <w:t xml:space="preserve"> in the base case and the energy efficiency case, a breakdown of the </w:t>
      </w:r>
      <w:r w:rsidR="007544F1">
        <w:t>benefits to earnings</w:t>
      </w:r>
      <w:r>
        <w:t xml:space="preserve"> </w:t>
      </w:r>
      <w:r w:rsidR="007544F1">
        <w:t>of various rate mechanisms</w:t>
      </w:r>
      <w:r>
        <w:t xml:space="preserve"> in the energy efficiency case, and </w:t>
      </w:r>
      <w:r w:rsidR="007544F1">
        <w:t>a breakdown of the cost of production in the</w:t>
      </w:r>
      <w:r>
        <w:t xml:space="preserve"> energy efficiency</w:t>
      </w:r>
      <w:r w:rsidR="007544F1">
        <w:t xml:space="preserve"> case</w:t>
      </w:r>
      <w:r>
        <w:t>.</w:t>
      </w:r>
    </w:p>
    <w:p w14:paraId="59B5A6BC" w14:textId="606C3345" w:rsidR="007544F1" w:rsidRDefault="007544F1" w:rsidP="00E22B98">
      <w:pPr>
        <w:pStyle w:val="BodyText"/>
        <w:spacing w:line="276" w:lineRule="auto"/>
        <w:ind w:firstLine="720"/>
      </w:pPr>
      <w:r>
        <w:t>The first output from the Utility Impact module shows the after tax earning</w:t>
      </w:r>
      <w:r w:rsidR="00AD35B0">
        <w:t>s</w:t>
      </w:r>
      <w:r>
        <w:t xml:space="preserve"> for the base case and the energy efficiency case. </w:t>
      </w:r>
      <w:r w:rsidR="00947382">
        <w:t xml:space="preserve">This shows purely the actual dollar amount of profit in both cases over the duration of the analysis. </w:t>
      </w:r>
    </w:p>
    <w:p w14:paraId="28CA5590" w14:textId="51585638" w:rsidR="007544F1" w:rsidRDefault="00DC545E" w:rsidP="00E22B98">
      <w:pPr>
        <w:pStyle w:val="BodyText"/>
        <w:keepNext/>
        <w:spacing w:line="276" w:lineRule="auto"/>
        <w:jc w:val="center"/>
      </w:pPr>
      <w:r w:rsidRPr="00DC545E">
        <w:rPr>
          <w:noProof/>
          <w:lang w:eastAsia="en-US"/>
        </w:rPr>
        <w:t xml:space="preserve"> </w:t>
      </w:r>
      <w:r>
        <w:rPr>
          <w:noProof/>
          <w:lang w:eastAsia="en-US"/>
        </w:rPr>
        <w:drawing>
          <wp:inline distT="0" distB="0" distL="0" distR="0" wp14:anchorId="7EDD456E" wp14:editId="24F5A356">
            <wp:extent cx="2705100" cy="1723234"/>
            <wp:effectExtent l="0" t="0" r="12700" b="2984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54131ED" w14:textId="77777777" w:rsidR="007544F1" w:rsidRPr="007544F1" w:rsidRDefault="007544F1" w:rsidP="00E22B98">
      <w:pPr>
        <w:pStyle w:val="Caption"/>
        <w:spacing w:line="276" w:lineRule="auto"/>
        <w:jc w:val="center"/>
        <w:rPr>
          <w:sz w:val="20"/>
          <w:szCs w:val="20"/>
        </w:rPr>
      </w:pPr>
      <w:r w:rsidRPr="007544F1">
        <w:rPr>
          <w:sz w:val="20"/>
          <w:szCs w:val="20"/>
        </w:rPr>
        <w:t xml:space="preserve">Figure </w:t>
      </w:r>
      <w:r w:rsidRPr="007544F1">
        <w:rPr>
          <w:sz w:val="20"/>
          <w:szCs w:val="20"/>
        </w:rPr>
        <w:fldChar w:fldCharType="begin"/>
      </w:r>
      <w:r w:rsidRPr="007544F1">
        <w:rPr>
          <w:sz w:val="20"/>
          <w:szCs w:val="20"/>
        </w:rPr>
        <w:instrText xml:space="preserve"> SEQ Figure \* ARABIC </w:instrText>
      </w:r>
      <w:r w:rsidRPr="007544F1">
        <w:rPr>
          <w:sz w:val="20"/>
          <w:szCs w:val="20"/>
        </w:rPr>
        <w:fldChar w:fldCharType="separate"/>
      </w:r>
      <w:r w:rsidR="00D757B6">
        <w:rPr>
          <w:noProof/>
          <w:sz w:val="20"/>
          <w:szCs w:val="20"/>
        </w:rPr>
        <w:t>9</w:t>
      </w:r>
      <w:r w:rsidRPr="007544F1">
        <w:rPr>
          <w:sz w:val="20"/>
          <w:szCs w:val="20"/>
        </w:rPr>
        <w:fldChar w:fldCharType="end"/>
      </w:r>
      <w:r w:rsidRPr="007544F1">
        <w:rPr>
          <w:sz w:val="20"/>
          <w:szCs w:val="20"/>
        </w:rPr>
        <w:t>: First Utility Impact Module output graph</w:t>
      </w:r>
    </w:p>
    <w:p w14:paraId="61254F46" w14:textId="4A7C8AB4" w:rsidR="007544F1" w:rsidRDefault="007544F1" w:rsidP="00E22B98">
      <w:pPr>
        <w:pStyle w:val="BodyText"/>
        <w:spacing w:line="276" w:lineRule="auto"/>
        <w:ind w:firstLine="720"/>
      </w:pPr>
      <w:r>
        <w:t xml:space="preserve">The second output from the Utility Impact module shows the Return-on-Equity (ROE) for both the base case and the energy efficiency case. This output serves to adjust for differences in investment between the two cases. </w:t>
      </w:r>
      <w:r w:rsidR="005D54CE">
        <w:t xml:space="preserve"> There may be a reduction in after-tax earning with no corresponding reduction in ROE.</w:t>
      </w:r>
      <w:r w:rsidR="0081382E">
        <w:t xml:space="preserve"> </w:t>
      </w:r>
      <w:r w:rsidR="00947382">
        <w:t>The information is shown annually for the duration of the analysis.</w:t>
      </w:r>
    </w:p>
    <w:p w14:paraId="6F5F2C22" w14:textId="2FF4D318" w:rsidR="00947382" w:rsidRDefault="00DC545E" w:rsidP="00E22B98">
      <w:pPr>
        <w:pStyle w:val="BodyText"/>
        <w:keepNext/>
        <w:spacing w:line="276" w:lineRule="auto"/>
        <w:jc w:val="center"/>
      </w:pPr>
      <w:r w:rsidRPr="00DC545E">
        <w:rPr>
          <w:noProof/>
          <w:lang w:eastAsia="en-US"/>
        </w:rPr>
        <w:t xml:space="preserve"> </w:t>
      </w:r>
      <w:r>
        <w:rPr>
          <w:noProof/>
          <w:lang w:eastAsia="en-US"/>
        </w:rPr>
        <w:drawing>
          <wp:inline distT="0" distB="0" distL="0" distR="0" wp14:anchorId="0363FCA9" wp14:editId="4701729B">
            <wp:extent cx="2705100" cy="1721065"/>
            <wp:effectExtent l="0" t="0" r="12700" b="317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12D1049" w14:textId="77777777" w:rsidR="007544F1" w:rsidRPr="00947382" w:rsidRDefault="00947382" w:rsidP="00E22B98">
      <w:pPr>
        <w:pStyle w:val="Caption"/>
        <w:spacing w:line="276" w:lineRule="auto"/>
        <w:jc w:val="center"/>
        <w:rPr>
          <w:sz w:val="20"/>
          <w:szCs w:val="20"/>
        </w:rPr>
      </w:pPr>
      <w:r w:rsidRPr="00947382">
        <w:rPr>
          <w:sz w:val="20"/>
          <w:szCs w:val="20"/>
        </w:rPr>
        <w:t xml:space="preserve">Figure </w:t>
      </w:r>
      <w:r w:rsidRPr="00947382">
        <w:rPr>
          <w:sz w:val="20"/>
          <w:szCs w:val="20"/>
        </w:rPr>
        <w:fldChar w:fldCharType="begin"/>
      </w:r>
      <w:r w:rsidRPr="00947382">
        <w:rPr>
          <w:sz w:val="20"/>
          <w:szCs w:val="20"/>
        </w:rPr>
        <w:instrText xml:space="preserve"> SEQ Figure \* ARABIC </w:instrText>
      </w:r>
      <w:r w:rsidRPr="00947382">
        <w:rPr>
          <w:sz w:val="20"/>
          <w:szCs w:val="20"/>
        </w:rPr>
        <w:fldChar w:fldCharType="separate"/>
      </w:r>
      <w:r w:rsidR="00D757B6">
        <w:rPr>
          <w:noProof/>
          <w:sz w:val="20"/>
          <w:szCs w:val="20"/>
        </w:rPr>
        <w:t>10</w:t>
      </w:r>
      <w:r w:rsidRPr="00947382">
        <w:rPr>
          <w:sz w:val="20"/>
          <w:szCs w:val="20"/>
        </w:rPr>
        <w:fldChar w:fldCharType="end"/>
      </w:r>
      <w:r w:rsidRPr="00947382">
        <w:rPr>
          <w:sz w:val="20"/>
          <w:szCs w:val="20"/>
        </w:rPr>
        <w:t>: Second Utility Impact Module output graph</w:t>
      </w:r>
    </w:p>
    <w:p w14:paraId="28D684C8" w14:textId="3170CDF1" w:rsidR="007544F1" w:rsidRDefault="00947382" w:rsidP="00E22B98">
      <w:pPr>
        <w:pStyle w:val="BodyText"/>
        <w:spacing w:line="276" w:lineRule="auto"/>
        <w:ind w:firstLine="720"/>
      </w:pPr>
      <w:r>
        <w:t>The third output from the Utility Impact module shows a breakdown of the benefits to earning</w:t>
      </w:r>
      <w:r w:rsidR="00F21DB6">
        <w:t>s</w:t>
      </w:r>
      <w:r>
        <w:t xml:space="preserve"> from different </w:t>
      </w:r>
      <w:r w:rsidR="0081382E">
        <w:t>cost recovery</w:t>
      </w:r>
      <w:r>
        <w:t xml:space="preserve"> mechanisms</w:t>
      </w:r>
      <w:r w:rsidR="0081382E">
        <w:t xml:space="preserve"> and </w:t>
      </w:r>
      <w:r w:rsidR="00E44E8B">
        <w:t xml:space="preserve">utility </w:t>
      </w:r>
      <w:r w:rsidR="0081382E">
        <w:t>incentives</w:t>
      </w:r>
      <w:r>
        <w:t>. The three mechanisms are program cost recovery, recovery of lost revenue, and incentive mechanisms. The chart shows the range by which the utility might underachieve if these mechanisms weren’t in place. Any mechanisms that are not used will still appear in the legend but will simply be blank in the actual chart. This information is shown for each year of the analysis.</w:t>
      </w:r>
    </w:p>
    <w:p w14:paraId="48B0B257" w14:textId="2028DAF4" w:rsidR="00947382" w:rsidRDefault="00DC545E" w:rsidP="00E22B98">
      <w:pPr>
        <w:pStyle w:val="BodyText"/>
        <w:keepNext/>
        <w:spacing w:line="276" w:lineRule="auto"/>
        <w:jc w:val="center"/>
      </w:pPr>
      <w:r>
        <w:rPr>
          <w:noProof/>
          <w:lang w:eastAsia="en-US"/>
        </w:rPr>
        <w:drawing>
          <wp:inline distT="0" distB="0" distL="0" distR="0" wp14:anchorId="5A648E9E" wp14:editId="07730F55">
            <wp:extent cx="2705100" cy="1698551"/>
            <wp:effectExtent l="0" t="0" r="12700" b="2921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DB68A99" w14:textId="77777777" w:rsidR="007544F1" w:rsidRPr="00947382" w:rsidRDefault="00947382" w:rsidP="00E22B98">
      <w:pPr>
        <w:pStyle w:val="Caption"/>
        <w:spacing w:line="276" w:lineRule="auto"/>
        <w:jc w:val="center"/>
        <w:rPr>
          <w:sz w:val="20"/>
          <w:szCs w:val="20"/>
        </w:rPr>
      </w:pPr>
      <w:r w:rsidRPr="00947382">
        <w:rPr>
          <w:sz w:val="20"/>
          <w:szCs w:val="20"/>
        </w:rPr>
        <w:t xml:space="preserve">Figure </w:t>
      </w:r>
      <w:r w:rsidRPr="00947382">
        <w:rPr>
          <w:sz w:val="20"/>
          <w:szCs w:val="20"/>
        </w:rPr>
        <w:fldChar w:fldCharType="begin"/>
      </w:r>
      <w:r w:rsidRPr="00947382">
        <w:rPr>
          <w:sz w:val="20"/>
          <w:szCs w:val="20"/>
        </w:rPr>
        <w:instrText xml:space="preserve"> SEQ Figure \* ARABIC </w:instrText>
      </w:r>
      <w:r w:rsidRPr="00947382">
        <w:rPr>
          <w:sz w:val="20"/>
          <w:szCs w:val="20"/>
        </w:rPr>
        <w:fldChar w:fldCharType="separate"/>
      </w:r>
      <w:r w:rsidR="00D757B6">
        <w:rPr>
          <w:noProof/>
          <w:sz w:val="20"/>
          <w:szCs w:val="20"/>
        </w:rPr>
        <w:t>11</w:t>
      </w:r>
      <w:r w:rsidRPr="00947382">
        <w:rPr>
          <w:sz w:val="20"/>
          <w:szCs w:val="20"/>
        </w:rPr>
        <w:fldChar w:fldCharType="end"/>
      </w:r>
      <w:r w:rsidRPr="00947382">
        <w:rPr>
          <w:sz w:val="20"/>
          <w:szCs w:val="20"/>
        </w:rPr>
        <w:t>: Third Utility Impact Module output graph</w:t>
      </w:r>
    </w:p>
    <w:p w14:paraId="1EEFE501" w14:textId="77777777" w:rsidR="00947382" w:rsidRDefault="00947382" w:rsidP="00E22B98">
      <w:pPr>
        <w:pStyle w:val="BodyText"/>
        <w:spacing w:line="276" w:lineRule="auto"/>
        <w:ind w:firstLine="720"/>
      </w:pPr>
      <w:r>
        <w:t xml:space="preserve">The fourth and final output from the Utility Impact module shows </w:t>
      </w:r>
      <w:r w:rsidR="001C17D0">
        <w:t xml:space="preserve">a breakdown of the total cost of production. The cost of production for both cases and the fixed cost revenue requirement is shown. </w:t>
      </w:r>
    </w:p>
    <w:p w14:paraId="74310D89" w14:textId="6B65EEBD" w:rsidR="001C17D0" w:rsidRDefault="00D36CEE" w:rsidP="00E22B98">
      <w:pPr>
        <w:pStyle w:val="BodyText"/>
        <w:keepNext/>
        <w:spacing w:line="276" w:lineRule="auto"/>
        <w:jc w:val="center"/>
      </w:pPr>
      <w:r>
        <w:rPr>
          <w:noProof/>
          <w:lang w:eastAsia="en-US"/>
        </w:rPr>
        <w:drawing>
          <wp:inline distT="0" distB="0" distL="0" distR="0" wp14:anchorId="4084B5AE" wp14:editId="7FE86FEA">
            <wp:extent cx="2705100" cy="1733017"/>
            <wp:effectExtent l="0" t="0" r="12700" b="1968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8E12720" w14:textId="77777777" w:rsidR="00947382" w:rsidRPr="001C17D0" w:rsidRDefault="001C17D0" w:rsidP="00E22B98">
      <w:pPr>
        <w:pStyle w:val="Caption"/>
        <w:spacing w:line="276" w:lineRule="auto"/>
        <w:jc w:val="center"/>
        <w:rPr>
          <w:sz w:val="20"/>
          <w:szCs w:val="20"/>
        </w:rPr>
      </w:pPr>
      <w:r w:rsidRPr="001C17D0">
        <w:rPr>
          <w:sz w:val="20"/>
          <w:szCs w:val="20"/>
        </w:rPr>
        <w:t xml:space="preserve">Figure </w:t>
      </w:r>
      <w:r w:rsidRPr="001C17D0">
        <w:rPr>
          <w:sz w:val="20"/>
          <w:szCs w:val="20"/>
        </w:rPr>
        <w:fldChar w:fldCharType="begin"/>
      </w:r>
      <w:r w:rsidRPr="001C17D0">
        <w:rPr>
          <w:sz w:val="20"/>
          <w:szCs w:val="20"/>
        </w:rPr>
        <w:instrText xml:space="preserve"> SEQ Figure \* ARABIC </w:instrText>
      </w:r>
      <w:r w:rsidRPr="001C17D0">
        <w:rPr>
          <w:sz w:val="20"/>
          <w:szCs w:val="20"/>
        </w:rPr>
        <w:fldChar w:fldCharType="separate"/>
      </w:r>
      <w:r w:rsidR="00D757B6">
        <w:rPr>
          <w:noProof/>
          <w:sz w:val="20"/>
          <w:szCs w:val="20"/>
        </w:rPr>
        <w:t>12</w:t>
      </w:r>
      <w:r w:rsidRPr="001C17D0">
        <w:rPr>
          <w:sz w:val="20"/>
          <w:szCs w:val="20"/>
        </w:rPr>
        <w:fldChar w:fldCharType="end"/>
      </w:r>
      <w:r w:rsidRPr="001C17D0">
        <w:rPr>
          <w:sz w:val="20"/>
          <w:szCs w:val="20"/>
        </w:rPr>
        <w:t>: Fourth Utility Impact Module output graph</w:t>
      </w:r>
    </w:p>
    <w:p w14:paraId="659070D7" w14:textId="77777777" w:rsidR="00C11BAB" w:rsidRDefault="00C11BAB" w:rsidP="00E22B98">
      <w:pPr>
        <w:pStyle w:val="Heading3"/>
        <w:spacing w:line="276" w:lineRule="auto"/>
      </w:pPr>
      <w:bookmarkStart w:id="84" w:name="_Toc278464927"/>
      <w:r>
        <w:t>Capital Investment Deferral Module</w:t>
      </w:r>
      <w:bookmarkEnd w:id="84"/>
    </w:p>
    <w:p w14:paraId="7145C64A" w14:textId="46E6E66D" w:rsidR="00C11BAB" w:rsidRDefault="001C17D0" w:rsidP="00E22B98">
      <w:pPr>
        <w:pStyle w:val="BodyText"/>
        <w:spacing w:line="276" w:lineRule="auto"/>
        <w:ind w:firstLine="720"/>
      </w:pPr>
      <w:r>
        <w:t xml:space="preserve">The </w:t>
      </w:r>
      <w:r w:rsidR="00D32E61">
        <w:t>Capital Investment Deferral M</w:t>
      </w:r>
      <w:r>
        <w:t>odu</w:t>
      </w:r>
      <w:r w:rsidR="00D32E61">
        <w:t>le outputs show a comparison of plant investment schedules in the base case and the energy efficiency case</w:t>
      </w:r>
      <w:r>
        <w:t>.</w:t>
      </w:r>
      <w:r w:rsidR="0016502F">
        <w:t xml:space="preserve"> The values used here are shown as an example.</w:t>
      </w:r>
    </w:p>
    <w:p w14:paraId="1CD4EB16" w14:textId="77777777" w:rsidR="00D32E61" w:rsidRDefault="00D32E61" w:rsidP="00E22B98">
      <w:pPr>
        <w:pStyle w:val="BodyText"/>
        <w:spacing w:line="276" w:lineRule="auto"/>
        <w:ind w:firstLine="720"/>
      </w:pPr>
      <w:r>
        <w:t xml:space="preserve">Both outputs from the Capital Investment Deferral module show the </w:t>
      </w:r>
      <w:r w:rsidR="000B2233">
        <w:t xml:space="preserve">year and amount to be invested in specified plant. The first shows the base schedule as entered in the Utility Sector Deferred Capital Investment module (see 2.2.2). The second shows the investment schedule based on the reduced demand from the energy efficiency program. </w:t>
      </w:r>
    </w:p>
    <w:p w14:paraId="2F4B7B8B" w14:textId="77777777" w:rsidR="000B2233" w:rsidRDefault="00A76890" w:rsidP="00E22B98">
      <w:pPr>
        <w:pStyle w:val="BodyText"/>
        <w:keepNext/>
        <w:spacing w:line="276" w:lineRule="auto"/>
        <w:jc w:val="center"/>
      </w:pPr>
      <w:r>
        <w:rPr>
          <w:noProof/>
          <w:lang w:eastAsia="en-US"/>
        </w:rPr>
        <w:drawing>
          <wp:inline distT="0" distB="0" distL="0" distR="0" wp14:anchorId="418A7FC5" wp14:editId="1E091C3A">
            <wp:extent cx="3323020" cy="4525108"/>
            <wp:effectExtent l="0" t="0" r="4445" b="0"/>
            <wp:docPr id="15" name="Picture 15" descr="Screen shot 2014-01-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1-01 at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23020" cy="4525108"/>
                    </a:xfrm>
                    <a:prstGeom prst="rect">
                      <a:avLst/>
                    </a:prstGeom>
                    <a:noFill/>
                    <a:ln>
                      <a:noFill/>
                    </a:ln>
                  </pic:spPr>
                </pic:pic>
              </a:graphicData>
            </a:graphic>
          </wp:inline>
        </w:drawing>
      </w:r>
    </w:p>
    <w:p w14:paraId="7DCF4115" w14:textId="77777777" w:rsidR="000B2233" w:rsidRPr="000B2233" w:rsidRDefault="000B2233" w:rsidP="00E22B98">
      <w:pPr>
        <w:pStyle w:val="Caption"/>
        <w:spacing w:line="276" w:lineRule="auto"/>
        <w:jc w:val="center"/>
        <w:rPr>
          <w:sz w:val="20"/>
          <w:szCs w:val="20"/>
        </w:rPr>
      </w:pPr>
      <w:r w:rsidRPr="000B2233">
        <w:rPr>
          <w:sz w:val="20"/>
          <w:szCs w:val="20"/>
        </w:rPr>
        <w:t xml:space="preserve">Figure </w:t>
      </w:r>
      <w:r w:rsidRPr="000B2233">
        <w:rPr>
          <w:sz w:val="20"/>
          <w:szCs w:val="20"/>
        </w:rPr>
        <w:fldChar w:fldCharType="begin"/>
      </w:r>
      <w:r w:rsidRPr="000B2233">
        <w:rPr>
          <w:sz w:val="20"/>
          <w:szCs w:val="20"/>
        </w:rPr>
        <w:instrText xml:space="preserve"> SEQ Figure \* ARABIC </w:instrText>
      </w:r>
      <w:r w:rsidRPr="000B2233">
        <w:rPr>
          <w:sz w:val="20"/>
          <w:szCs w:val="20"/>
        </w:rPr>
        <w:fldChar w:fldCharType="separate"/>
      </w:r>
      <w:r w:rsidR="00D757B6">
        <w:rPr>
          <w:noProof/>
          <w:sz w:val="20"/>
          <w:szCs w:val="20"/>
        </w:rPr>
        <w:t>13</w:t>
      </w:r>
      <w:r w:rsidRPr="000B2233">
        <w:rPr>
          <w:sz w:val="20"/>
          <w:szCs w:val="20"/>
        </w:rPr>
        <w:fldChar w:fldCharType="end"/>
      </w:r>
      <w:r w:rsidRPr="000B2233">
        <w:rPr>
          <w:sz w:val="20"/>
          <w:szCs w:val="20"/>
        </w:rPr>
        <w:t>: Capital Investment Deferral Module output graphs</w:t>
      </w:r>
    </w:p>
    <w:p w14:paraId="210562B2" w14:textId="4CBAE572" w:rsidR="00FB714F" w:rsidRDefault="00FB714F" w:rsidP="00E22B98">
      <w:pPr>
        <w:suppressAutoHyphens w:val="0"/>
        <w:spacing w:line="276" w:lineRule="auto"/>
      </w:pPr>
      <w:r>
        <w:br w:type="page"/>
      </w:r>
    </w:p>
    <w:p w14:paraId="4B8F8E2F" w14:textId="0BB3509A" w:rsidR="00344B77" w:rsidRDefault="00344B77" w:rsidP="00E22B98">
      <w:pPr>
        <w:pStyle w:val="Heading2"/>
      </w:pPr>
      <w:bookmarkStart w:id="85" w:name="_Toc278464928"/>
      <w:bookmarkStart w:id="86" w:name="_Toc376263716"/>
      <w:bookmarkStart w:id="87" w:name="_Toc376263780"/>
      <w:r>
        <w:t>Cost-Benefit Analysis Sector</w:t>
      </w:r>
      <w:bookmarkEnd w:id="85"/>
    </w:p>
    <w:p w14:paraId="263E3DF7" w14:textId="3609C662" w:rsidR="00D757B6" w:rsidRDefault="00344B77" w:rsidP="00D757B6">
      <w:pPr>
        <w:pStyle w:val="BodyText"/>
        <w:spacing w:line="276" w:lineRule="auto"/>
        <w:ind w:firstLine="576"/>
      </w:pPr>
      <w:r>
        <w:t xml:space="preserve">The Cost-Benefit Test </w:t>
      </w:r>
      <w:r w:rsidR="009A7D5B">
        <w:t>outputs display the calculated results for each of four CBA tests</w:t>
      </w:r>
      <w:r w:rsidR="00D757B6">
        <w:t>, the breakdown of costs and benefits, and some information on how they compare to the utility values.</w:t>
      </w:r>
    </w:p>
    <w:p w14:paraId="42DB8DD9" w14:textId="58E8B676" w:rsidR="009A7D5B" w:rsidRDefault="00D757B6" w:rsidP="00D757B6">
      <w:pPr>
        <w:pStyle w:val="BodyText"/>
        <w:spacing w:line="276" w:lineRule="auto"/>
        <w:ind w:firstLine="720"/>
      </w:pPr>
      <w:r>
        <w:t>In the first graph, CBA Test Result Comparison, t</w:t>
      </w:r>
      <w:r w:rsidR="009A7D5B">
        <w:t xml:space="preserve">he results are displayed in terms of </w:t>
      </w:r>
      <w:r w:rsidR="009B7E13">
        <w:t>t</w:t>
      </w:r>
      <w:r w:rsidR="009A7D5B">
        <w:t xml:space="preserve">he NPV of </w:t>
      </w:r>
      <w:r>
        <w:t xml:space="preserve">the </w:t>
      </w:r>
      <w:r w:rsidR="009A7D5B">
        <w:t>first 10 years of net benefits</w:t>
      </w:r>
      <w:r w:rsidR="009A7D5B">
        <w:rPr>
          <w:rStyle w:val="FootnoteReference"/>
        </w:rPr>
        <w:footnoteReference w:id="37"/>
      </w:r>
      <w:r>
        <w:t xml:space="preserve"> and the full 25 years of net benefits. Alongside these values is show the utility values to get a sense for how close or far these values are from each other.</w:t>
      </w:r>
      <w:r w:rsidR="006D46C9">
        <w:t xml:space="preserve"> </w:t>
      </w:r>
    </w:p>
    <w:p w14:paraId="006BCED5" w14:textId="77777777" w:rsidR="00D757B6" w:rsidRDefault="009B7E13" w:rsidP="00D757B6">
      <w:pPr>
        <w:keepNext/>
        <w:suppressAutoHyphens w:val="0"/>
        <w:jc w:val="center"/>
      </w:pPr>
      <w:r>
        <w:rPr>
          <w:noProof/>
          <w:lang w:eastAsia="en-US"/>
        </w:rPr>
        <w:drawing>
          <wp:inline distT="0" distB="0" distL="0" distR="0" wp14:anchorId="4DE74631" wp14:editId="52708F5D">
            <wp:extent cx="2705100" cy="1650508"/>
            <wp:effectExtent l="0" t="0" r="12700" b="260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C61F05B" w14:textId="008C0416" w:rsidR="009B7E13" w:rsidRDefault="00D757B6" w:rsidP="00D757B6">
      <w:pPr>
        <w:pStyle w:val="Caption"/>
        <w:jc w:val="center"/>
      </w:pPr>
      <w:r>
        <w:t xml:space="preserve">Figure </w:t>
      </w:r>
      <w:fldSimple w:instr=" SEQ Figure \* ARABIC ">
        <w:r>
          <w:rPr>
            <w:noProof/>
          </w:rPr>
          <w:t>14</w:t>
        </w:r>
      </w:fldSimple>
      <w:r>
        <w:t>: Comparison across time horizons and source</w:t>
      </w:r>
    </w:p>
    <w:p w14:paraId="23D15A99" w14:textId="0D734DA4" w:rsidR="009B7E13" w:rsidRDefault="00D757B6" w:rsidP="00D757B6">
      <w:pPr>
        <w:suppressAutoHyphens w:val="0"/>
        <w:spacing w:line="276" w:lineRule="auto"/>
        <w:ind w:firstLine="720"/>
      </w:pPr>
      <w:r>
        <w:t xml:space="preserve">In the next graph, CBA % Difference, shows the percent that the 25 years of net benefits is different from the utility value. This is calculated as a percent of the utility CBA value. If no utility values were entered for the CBAs, this output would be blank. </w:t>
      </w:r>
    </w:p>
    <w:p w14:paraId="2DC6BE0D" w14:textId="77777777" w:rsidR="00D757B6" w:rsidRDefault="009B7E13" w:rsidP="00D757B6">
      <w:pPr>
        <w:keepNext/>
        <w:suppressAutoHyphens w:val="0"/>
        <w:jc w:val="center"/>
      </w:pPr>
      <w:r>
        <w:rPr>
          <w:noProof/>
          <w:lang w:eastAsia="en-US"/>
        </w:rPr>
        <w:drawing>
          <wp:inline distT="0" distB="0" distL="0" distR="0" wp14:anchorId="75B95F8F" wp14:editId="69957EC9">
            <wp:extent cx="2705100" cy="1592627"/>
            <wp:effectExtent l="0" t="0" r="12700" b="3302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EFA43DC" w14:textId="1EF542D7" w:rsidR="009B7E13" w:rsidRDefault="00D757B6" w:rsidP="00D757B6">
      <w:pPr>
        <w:pStyle w:val="Caption"/>
        <w:jc w:val="center"/>
      </w:pPr>
      <w:r>
        <w:t xml:space="preserve">Figure </w:t>
      </w:r>
      <w:fldSimple w:instr=" SEQ Figure \* ARABIC ">
        <w:r>
          <w:rPr>
            <w:noProof/>
          </w:rPr>
          <w:t>15</w:t>
        </w:r>
      </w:fldSimple>
      <w:r>
        <w:t>: Difference between the utility CBA values and the tool CBA values</w:t>
      </w:r>
    </w:p>
    <w:p w14:paraId="4CEFF356" w14:textId="77777777" w:rsidR="00D757B6" w:rsidRDefault="00D757B6">
      <w:pPr>
        <w:suppressAutoHyphens w:val="0"/>
      </w:pPr>
      <w:r>
        <w:br w:type="page"/>
      </w:r>
    </w:p>
    <w:p w14:paraId="1A69C211" w14:textId="5DE59E1F" w:rsidR="009B7E13" w:rsidRDefault="00D757B6" w:rsidP="00D757B6">
      <w:pPr>
        <w:suppressAutoHyphens w:val="0"/>
        <w:spacing w:line="276" w:lineRule="auto"/>
        <w:ind w:firstLine="720"/>
      </w:pPr>
      <w:r>
        <w:t xml:space="preserve">The final graph, CBA Result Breakdown, shows the 25 years of benefits and costs of for each of the test that result in the net benefits shown above. </w:t>
      </w:r>
    </w:p>
    <w:p w14:paraId="00FBA70A" w14:textId="77777777" w:rsidR="00D757B6" w:rsidRDefault="009B7E13" w:rsidP="00D757B6">
      <w:pPr>
        <w:keepNext/>
        <w:suppressAutoHyphens w:val="0"/>
        <w:jc w:val="center"/>
      </w:pPr>
      <w:r>
        <w:rPr>
          <w:noProof/>
          <w:lang w:eastAsia="en-US"/>
        </w:rPr>
        <w:drawing>
          <wp:inline distT="0" distB="0" distL="0" distR="0" wp14:anchorId="3F36AAA6" wp14:editId="4EE6EEBC">
            <wp:extent cx="2705100" cy="1598088"/>
            <wp:effectExtent l="0" t="0" r="12700" b="279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C6190E5" w14:textId="787CCFD8" w:rsidR="009B7E13" w:rsidRDefault="00D757B6" w:rsidP="00D757B6">
      <w:pPr>
        <w:pStyle w:val="Caption"/>
        <w:jc w:val="center"/>
      </w:pPr>
      <w:r>
        <w:t xml:space="preserve">Figure </w:t>
      </w:r>
      <w:fldSimple w:instr=" SEQ Figure \* ARABIC ">
        <w:r>
          <w:rPr>
            <w:noProof/>
          </w:rPr>
          <w:t>16</w:t>
        </w:r>
      </w:fldSimple>
      <w:r>
        <w:t>: Value for 25-year benefits and costs for each CBA test</w:t>
      </w:r>
    </w:p>
    <w:p w14:paraId="26526F12" w14:textId="77777777" w:rsidR="009B7E13" w:rsidRDefault="009B7E13" w:rsidP="009B7E13">
      <w:pPr>
        <w:suppressAutoHyphens w:val="0"/>
        <w:jc w:val="center"/>
      </w:pPr>
    </w:p>
    <w:p w14:paraId="66A0565B" w14:textId="16005891" w:rsidR="00FB714F" w:rsidRDefault="00FB714F" w:rsidP="009B7E13">
      <w:pPr>
        <w:suppressAutoHyphens w:val="0"/>
      </w:pPr>
      <w:r>
        <w:br w:type="page"/>
      </w:r>
    </w:p>
    <w:p w14:paraId="66A801B5" w14:textId="2322CF1F" w:rsidR="003C07F5" w:rsidRDefault="003C07F5" w:rsidP="00E22B98">
      <w:pPr>
        <w:pStyle w:val="Heading1"/>
      </w:pPr>
      <w:bookmarkStart w:id="88" w:name="_Toc278464929"/>
      <w:r>
        <w:t>References</w:t>
      </w:r>
      <w:bookmarkEnd w:id="86"/>
      <w:bookmarkEnd w:id="87"/>
      <w:bookmarkEnd w:id="88"/>
    </w:p>
    <w:p w14:paraId="6C1CBD7D"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Brown, M. A., Staver, B. E., &amp; Smith, A. (2014). Expanded Capacity for Modeling Energy Efficiency in the Southeast: Project Summary. Southface Institute.</w:t>
      </w:r>
    </w:p>
    <w:p w14:paraId="259E5B53"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Cappers, P., Goldman, C., Chait, M., Edgar, G., Schlegel, J., &amp; Shirley, W. (2009). Financial Analysis of Incentive Mechanisms to Promote Energy Efficiency : Case Study of a Prototypical Southwest Utility. Ernest Orlando Lawrence Berkeley National Laboratory.</w:t>
      </w:r>
    </w:p>
    <w:p w14:paraId="47223CD1"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ELCON. (2007). Revenue Decoupling. Washington DC: The Electricity Consumers Resource Council.</w:t>
      </w:r>
    </w:p>
    <w:p w14:paraId="07840A93"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Gellings, C., Wikler, G., &amp; Ghosh, D. (2006). Assessment of U . S . Electric End-Use Energy Efficiency Potential. </w:t>
      </w:r>
      <w:r w:rsidRPr="00752218">
        <w:rPr>
          <w:rFonts w:ascii="Calibri" w:hAnsi="Calibri" w:cs="Calibri"/>
          <w:i/>
          <w:iCs/>
          <w:noProof/>
          <w:sz w:val="22"/>
        </w:rPr>
        <w:t>The Electricity</w:t>
      </w:r>
      <w:r w:rsidRPr="00752218">
        <w:rPr>
          <w:rFonts w:ascii="Calibri" w:hAnsi="Calibri" w:cs="Calibri"/>
          <w:noProof/>
          <w:sz w:val="22"/>
        </w:rPr>
        <w:t xml:space="preserve">, </w:t>
      </w:r>
      <w:r w:rsidRPr="00752218">
        <w:rPr>
          <w:rFonts w:ascii="Calibri" w:hAnsi="Calibri" w:cs="Calibri"/>
          <w:i/>
          <w:iCs/>
          <w:noProof/>
          <w:sz w:val="22"/>
        </w:rPr>
        <w:t>19</w:t>
      </w:r>
      <w:r w:rsidRPr="00752218">
        <w:rPr>
          <w:rFonts w:ascii="Calibri" w:hAnsi="Calibri" w:cs="Calibri"/>
          <w:noProof/>
          <w:sz w:val="22"/>
        </w:rPr>
        <w:t>(9), 55–69. doi:10.1016/j.tej.2006.10.001</w:t>
      </w:r>
    </w:p>
    <w:p w14:paraId="6F966B69"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Georgia Power Company. (2012a). 2012 Annual Report. Atlanta, GA.</w:t>
      </w:r>
    </w:p>
    <w:p w14:paraId="78A39C51"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Georgia Power Company. (2012b). Impact Evaluation of Georgia Power Company’s 2011 DSM Programs. Nexant.</w:t>
      </w:r>
    </w:p>
    <w:p w14:paraId="37B0D553"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Georgia Power Company. (2012c). Achievable Energy Efficiency Potentials. Atlanta, GA: Nexant.</w:t>
      </w:r>
    </w:p>
    <w:p w14:paraId="15F49B69"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International Performance Measurement &amp; Verification Protocol Committee. (2002). </w:t>
      </w:r>
      <w:r w:rsidRPr="00752218">
        <w:rPr>
          <w:rFonts w:ascii="Calibri" w:hAnsi="Calibri" w:cs="Calibri"/>
          <w:i/>
          <w:iCs/>
          <w:noProof/>
          <w:sz w:val="22"/>
        </w:rPr>
        <w:t>International Performance Measurement &amp; Verification Protocol Concepts and Options for Determining Energy and Water Savings</w:t>
      </w:r>
      <w:r w:rsidRPr="00752218">
        <w:rPr>
          <w:rFonts w:ascii="Calibri" w:hAnsi="Calibri" w:cs="Calibri"/>
          <w:noProof/>
          <w:sz w:val="22"/>
        </w:rPr>
        <w:t xml:space="preserve"> (Vol. I). Retrieved from http://www.doe.gov/bridge</w:t>
      </w:r>
    </w:p>
    <w:p w14:paraId="63FABED8"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Kihm, S. (2009). When Revenue Decoupling Will Work … and When It Won ’ t. </w:t>
      </w:r>
      <w:r w:rsidRPr="00752218">
        <w:rPr>
          <w:rFonts w:ascii="Calibri" w:hAnsi="Calibri" w:cs="Calibri"/>
          <w:i/>
          <w:iCs/>
          <w:noProof/>
          <w:sz w:val="22"/>
        </w:rPr>
        <w:t>The Electricity Journal</w:t>
      </w:r>
      <w:r w:rsidRPr="00752218">
        <w:rPr>
          <w:rFonts w:ascii="Calibri" w:hAnsi="Calibri" w:cs="Calibri"/>
          <w:noProof/>
          <w:sz w:val="22"/>
        </w:rPr>
        <w:t>, (October).</w:t>
      </w:r>
    </w:p>
    <w:p w14:paraId="25784B0C"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National Action Plan for Energy Efficiency. (2008). Understanding Cost-Effectiveness of Energy Effi ciency Programs : Best Practices, Technical Methods, and Emerging Issues for Policy-Makers. Energy and Environmental Economics, Inc. and Regulatory Assistance Project. Retrieved from www.epa.gov/eeactionplan</w:t>
      </w:r>
    </w:p>
    <w:p w14:paraId="12E3D864"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National Action Plan for Energy Efficiency (NAPEE). (2007). Aligning Utility Incentives with Investment in Energy Efficiency. U.S. EPA. Retrieved from www.epa.gov/eeactionplan</w:t>
      </w:r>
    </w:p>
    <w:p w14:paraId="49F11D50"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National Renewable Energy Laboratory (NREL). (2013). Chapter 13 : Assessing Persistence and Other Evaluation Issues Cross- Cutting Protocols.</w:t>
      </w:r>
    </w:p>
    <w:p w14:paraId="41FE6D9D"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Price, S. (n.d.). </w:t>
      </w:r>
      <w:r w:rsidRPr="00752218">
        <w:rPr>
          <w:rFonts w:ascii="Calibri" w:hAnsi="Calibri" w:cs="Calibri"/>
          <w:i/>
          <w:iCs/>
          <w:noProof/>
          <w:sz w:val="22"/>
        </w:rPr>
        <w:t>National Action Plan for Energy Efficiency Cost-effectiveness Tests “Current Practice ”</w:t>
      </w:r>
      <w:r w:rsidRPr="00752218">
        <w:rPr>
          <w:rFonts w:ascii="Calibri" w:hAnsi="Calibri" w:cs="Calibri"/>
          <w:noProof/>
          <w:sz w:val="22"/>
        </w:rPr>
        <w:t xml:space="preserve"> (pp. 3–15). Retrieved from www.epa.gov/eeactionplan</w:t>
      </w:r>
    </w:p>
    <w:p w14:paraId="58BFFAEC"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Satchwell, Andrew, Cappers, P., &amp; Goldman, C. (2011). Carrots and Sticks : A Comprehensive Business Model for the Successful Achievement of Energy Efficiency Resource Standards. In E. E. T. Division (Ed.), </w:t>
      </w:r>
      <w:r w:rsidRPr="00752218">
        <w:rPr>
          <w:rFonts w:ascii="Calibri" w:hAnsi="Calibri" w:cs="Calibri"/>
          <w:i/>
          <w:iCs/>
          <w:noProof/>
          <w:sz w:val="22"/>
        </w:rPr>
        <w:t>ECEEE Summer Study</w:t>
      </w:r>
      <w:r w:rsidRPr="00752218">
        <w:rPr>
          <w:rFonts w:ascii="Calibri" w:hAnsi="Calibri" w:cs="Calibri"/>
          <w:noProof/>
          <w:sz w:val="22"/>
        </w:rPr>
        <w:t>. Giens, France: Ernest Orlando Lawrence Berkeley National Laboratory.</w:t>
      </w:r>
    </w:p>
    <w:p w14:paraId="580A163C"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 xml:space="preserve">Satchwell, Andy, &amp; Lawrence Berkley National Laboratory (LBNL). (2013). </w:t>
      </w:r>
      <w:r w:rsidRPr="00752218">
        <w:rPr>
          <w:rFonts w:ascii="Calibri" w:hAnsi="Calibri" w:cs="Calibri"/>
          <w:i/>
          <w:iCs/>
          <w:noProof/>
          <w:sz w:val="22"/>
        </w:rPr>
        <w:t>Overview of Preliminary Quantitative Results for Southeast Regulatory Policy Exercise</w:t>
      </w:r>
      <w:r w:rsidRPr="00752218">
        <w:rPr>
          <w:rFonts w:ascii="Calibri" w:hAnsi="Calibri" w:cs="Calibri"/>
          <w:noProof/>
          <w:sz w:val="22"/>
        </w:rPr>
        <w:t>.</w:t>
      </w:r>
    </w:p>
    <w:p w14:paraId="1603E839" w14:textId="77777777" w:rsidR="005D54CE" w:rsidRPr="00752218" w:rsidRDefault="005D54CE" w:rsidP="005D54CE">
      <w:pPr>
        <w:pStyle w:val="NormalWeb"/>
        <w:ind w:left="480" w:hanging="480"/>
        <w:rPr>
          <w:rFonts w:ascii="Calibri" w:hAnsi="Calibri" w:cs="Calibri"/>
          <w:noProof/>
          <w:sz w:val="22"/>
        </w:rPr>
      </w:pPr>
      <w:r w:rsidRPr="00752218">
        <w:rPr>
          <w:rFonts w:ascii="Calibri" w:hAnsi="Calibri" w:cs="Calibri"/>
          <w:noProof/>
          <w:sz w:val="22"/>
        </w:rPr>
        <w:t>State of California Governor’s Office of Planning and Research. (2002). California Standard Practice Manual: Economic Analysis of Demand-Side Programs and Projects.</w:t>
      </w:r>
    </w:p>
    <w:p w14:paraId="56565BB0" w14:textId="2EF07FD1" w:rsidR="001E56D8" w:rsidRPr="00E22B98" w:rsidRDefault="005D54CE" w:rsidP="005D54CE">
      <w:pPr>
        <w:rPr>
          <w:rFonts w:ascii="Calibri" w:hAnsi="Calibri" w:cs="Calibri"/>
          <w:b/>
          <w:bCs/>
          <w:color w:val="345A8A"/>
        </w:rPr>
      </w:pPr>
      <w:r w:rsidRPr="00752218">
        <w:rPr>
          <w:rFonts w:ascii="Calibri" w:hAnsi="Calibri" w:cs="Calibri"/>
          <w:noProof/>
          <w:sz w:val="22"/>
        </w:rPr>
        <w:t xml:space="preserve">Wang, Y., &amp; Brown, M. a. (2013, November 26). Policy drivers for improving electricity end-use efficiency in the USA: an economic–engineering analysis. </w:t>
      </w:r>
      <w:r w:rsidRPr="00752218">
        <w:rPr>
          <w:rFonts w:ascii="Calibri" w:hAnsi="Calibri" w:cs="Calibri"/>
          <w:i/>
          <w:iCs/>
          <w:noProof/>
          <w:sz w:val="22"/>
        </w:rPr>
        <w:t>Energy Efficiency</w:t>
      </w:r>
      <w:r w:rsidRPr="00752218">
        <w:rPr>
          <w:rFonts w:ascii="Calibri" w:hAnsi="Calibri" w:cs="Calibri"/>
          <w:noProof/>
          <w:sz w:val="22"/>
        </w:rPr>
        <w:t>. Springer. doi:10.1007/s12053-013-9237-3</w:t>
      </w:r>
    </w:p>
    <w:p w14:paraId="7B820AEC" w14:textId="77777777" w:rsidR="005D54CE" w:rsidRDefault="005D54CE">
      <w:pPr>
        <w:rPr>
          <w:rFonts w:ascii="Calibri" w:hAnsi="Calibri" w:cs="Calibri"/>
          <w:b/>
          <w:bCs/>
          <w:color w:val="345A8A"/>
          <w:sz w:val="32"/>
          <w:szCs w:val="32"/>
        </w:rPr>
      </w:pPr>
    </w:p>
    <w:p w14:paraId="4A084E19" w14:textId="559923A1" w:rsidR="001E56D8" w:rsidRDefault="001E56D8">
      <w:pPr>
        <w:pStyle w:val="Heading1"/>
        <w:pageBreakBefore/>
        <w:numPr>
          <w:ilvl w:val="0"/>
          <w:numId w:val="0"/>
        </w:numPr>
        <w:ind w:left="432"/>
      </w:pPr>
      <w:bookmarkStart w:id="89" w:name="__RefHeading__754_1188058509"/>
      <w:bookmarkStart w:id="90" w:name="_Toc376263717"/>
      <w:bookmarkStart w:id="91" w:name="_Toc376263781"/>
      <w:bookmarkStart w:id="92" w:name="_Toc278464930"/>
      <w:bookmarkEnd w:id="89"/>
      <w:r>
        <w:t>Glossary</w:t>
      </w:r>
      <w:bookmarkEnd w:id="90"/>
      <w:bookmarkEnd w:id="91"/>
      <w:bookmarkEnd w:id="92"/>
    </w:p>
    <w:p w14:paraId="1F37CDEE" w14:textId="77777777" w:rsidR="004127E3" w:rsidRDefault="004127E3" w:rsidP="004127E3">
      <w:pPr>
        <w:spacing w:line="276" w:lineRule="auto"/>
        <w:ind w:left="630" w:hanging="630"/>
      </w:pPr>
      <w:r>
        <w:t>BAU – Business As Usual: The base case scenario in which the behavior or the utility continues without the program being analyzed</w:t>
      </w:r>
    </w:p>
    <w:p w14:paraId="3E5DB405" w14:textId="77777777" w:rsidR="004127E3" w:rsidRDefault="004127E3" w:rsidP="004127E3">
      <w:pPr>
        <w:spacing w:line="276" w:lineRule="auto"/>
        <w:ind w:left="630" w:hanging="630"/>
      </w:pPr>
      <w:r>
        <w:t>CBA – Cost/Benefit Analysis: A type of economics analysis that focused on the costs and benefits of a program or policy</w:t>
      </w:r>
    </w:p>
    <w:p w14:paraId="270EC9B8" w14:textId="77777777" w:rsidR="004127E3" w:rsidRDefault="004127E3" w:rsidP="004127E3">
      <w:pPr>
        <w:spacing w:line="276" w:lineRule="auto"/>
        <w:ind w:left="630" w:hanging="630"/>
      </w:pPr>
      <w:r>
        <w:t>DSM – Demand Side Management: A term used to reference any resource to manage demand instead of supply. These include Energy Efficiency (EE) and Distributed Generation (DG)</w:t>
      </w:r>
    </w:p>
    <w:p w14:paraId="0DDE2B82" w14:textId="0A929EA4" w:rsidR="004127E3" w:rsidRDefault="004127E3" w:rsidP="00E22B98">
      <w:pPr>
        <w:tabs>
          <w:tab w:val="left" w:pos="630"/>
        </w:tabs>
        <w:spacing w:line="276" w:lineRule="auto"/>
        <w:ind w:left="630" w:hanging="630"/>
      </w:pPr>
      <w:r>
        <w:t>EPRI – Electric Power Research Institute: An electricity industry think tank that conducts research as well as R&amp;D</w:t>
      </w:r>
    </w:p>
    <w:p w14:paraId="3BA8E2C9" w14:textId="1F5F45CD" w:rsidR="001E56D8" w:rsidRDefault="00A91112">
      <w:pPr>
        <w:spacing w:line="276" w:lineRule="auto"/>
      </w:pPr>
      <w:r>
        <w:t>IRP</w:t>
      </w:r>
      <w:r w:rsidR="006E5E1A">
        <w:t xml:space="preserve"> – Integrated Resource Plan: The plan proposed by a utility in front of the PSC</w:t>
      </w:r>
    </w:p>
    <w:p w14:paraId="5910FA5B" w14:textId="34493F34" w:rsidR="00A91112" w:rsidRDefault="00A91112" w:rsidP="006E5E1A">
      <w:pPr>
        <w:spacing w:line="276" w:lineRule="auto"/>
        <w:ind w:left="630" w:hanging="630"/>
      </w:pPr>
      <w:r>
        <w:t>PSC</w:t>
      </w:r>
      <w:r w:rsidR="006E5E1A">
        <w:t xml:space="preserve"> – Public Service Commission: The state level commission charged with regulating utilities. May also be called Public Utility Commission (PUC) or other similar names. </w:t>
      </w:r>
    </w:p>
    <w:p w14:paraId="615B855C" w14:textId="790A8900" w:rsidR="00A91112" w:rsidRDefault="00A91112" w:rsidP="006E5E1A">
      <w:pPr>
        <w:spacing w:line="276" w:lineRule="auto"/>
        <w:ind w:left="630" w:hanging="630"/>
      </w:pPr>
      <w:r>
        <w:t>SEC</w:t>
      </w:r>
      <w:r w:rsidR="006E5E1A">
        <w:t xml:space="preserve"> – Securities and Exchange Commission: The federal level commission in charge of regulating stock markets and companies. </w:t>
      </w:r>
    </w:p>
    <w:p w14:paraId="101599AB" w14:textId="31287125" w:rsidR="00E71644" w:rsidRPr="00E71644" w:rsidRDefault="00E71644" w:rsidP="00E71644">
      <w:pPr>
        <w:spacing w:line="276" w:lineRule="auto"/>
        <w:ind w:left="630" w:hanging="630"/>
      </w:pPr>
      <w:r>
        <w:t xml:space="preserve">SEC 10-K </w:t>
      </w:r>
      <w:r w:rsidRPr="0070727F">
        <w:t xml:space="preserve">– Securities and Exchange Commission Form 10-K: A form in which publically traded companies must file an annual report making specific information available. The type of data is specified for each Standard Industry Classification (SIC) type. </w:t>
      </w:r>
    </w:p>
    <w:p w14:paraId="6B79580D" w14:textId="17845EA5" w:rsidR="001E56D8" w:rsidRDefault="00BB5C29" w:rsidP="004127E3">
      <w:pPr>
        <w:spacing w:line="276" w:lineRule="auto"/>
        <w:ind w:left="630" w:hanging="630"/>
      </w:pPr>
      <w:r>
        <w:t>Y0</w:t>
      </w:r>
      <w:r w:rsidR="004127E3">
        <w:t xml:space="preserve"> – Year One: This is the year from which base case data is entered. It can also be described as the year before the program that is being analyzed starts. </w:t>
      </w:r>
      <w:r>
        <w:t>The data does not have to be from the actual year zero but can instead be from the most recent year for which data is available.</w:t>
      </w:r>
    </w:p>
    <w:p w14:paraId="2933CDA1" w14:textId="77777777" w:rsidR="001E56D8" w:rsidRDefault="001E56D8"/>
    <w:p w14:paraId="68DB2DDD" w14:textId="77777777" w:rsidR="001E56D8" w:rsidRDefault="001E56D8">
      <w:pPr>
        <w:spacing w:line="276" w:lineRule="auto"/>
      </w:pPr>
      <w:bookmarkStart w:id="93" w:name="__RefHeading__756_1188058509"/>
      <w:bookmarkStart w:id="94" w:name="__RefHeading__758_1188058509"/>
      <w:bookmarkEnd w:id="93"/>
      <w:bookmarkEnd w:id="94"/>
    </w:p>
    <w:sectPr w:rsidR="001E56D8">
      <w:headerReference w:type="even" r:id="rId112"/>
      <w:headerReference w:type="default" r:id="rId113"/>
      <w:footerReference w:type="even" r:id="rId114"/>
      <w:footerReference w:type="default" r:id="rId115"/>
      <w:headerReference w:type="first" r:id="rId116"/>
      <w:footerReference w:type="first" r:id="rId117"/>
      <w:pgSz w:w="12240" w:h="15840"/>
      <w:pgMar w:top="1440" w:right="1800" w:bottom="1440" w:left="180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6A748" w14:textId="77777777" w:rsidR="004B39B5" w:rsidRDefault="004B39B5">
      <w:r>
        <w:separator/>
      </w:r>
    </w:p>
  </w:endnote>
  <w:endnote w:type="continuationSeparator" w:id="0">
    <w:p w14:paraId="37429B5A" w14:textId="77777777" w:rsidR="004B39B5" w:rsidRDefault="004B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7">
    <w:altName w:val="Times New Roman"/>
    <w:charset w:val="00"/>
    <w:family w:val="auto"/>
    <w:pitch w:val="variable"/>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C7D5" w14:textId="77777777" w:rsidR="004B39B5" w:rsidRDefault="004B39B5" w:rsidP="00E22B9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305CCC8" w14:textId="77777777" w:rsidR="004B39B5" w:rsidRDefault="004B39B5" w:rsidP="00E22B9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17373" w14:textId="77777777" w:rsidR="004B39B5" w:rsidRDefault="004B39B5" w:rsidP="00E22B9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2C2202" w14:textId="77777777" w:rsidR="004B39B5" w:rsidRDefault="004B39B5" w:rsidP="00E22B98">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CD070" w14:textId="77777777" w:rsidR="004B39B5" w:rsidRDefault="004B39B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DB71" w14:textId="77777777" w:rsidR="004B39B5" w:rsidRDefault="004B39B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6A68D" w14:textId="77777777" w:rsidR="004B39B5" w:rsidRDefault="004B39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7BD82" w14:textId="77777777" w:rsidR="004B39B5" w:rsidRDefault="004B39B5">
      <w:r>
        <w:separator/>
      </w:r>
    </w:p>
  </w:footnote>
  <w:footnote w:type="continuationSeparator" w:id="0">
    <w:p w14:paraId="48602FBF" w14:textId="77777777" w:rsidR="004B39B5" w:rsidRDefault="004B39B5">
      <w:r>
        <w:continuationSeparator/>
      </w:r>
    </w:p>
  </w:footnote>
  <w:footnote w:id="1">
    <w:p w14:paraId="27D4649E" w14:textId="7A042304" w:rsidR="004B39B5" w:rsidRDefault="004B39B5">
      <w:pPr>
        <w:pStyle w:val="FootnoteText"/>
      </w:pPr>
      <w:r>
        <w:rPr>
          <w:rStyle w:val="FootnoteReference"/>
        </w:rPr>
        <w:footnoteRef/>
      </w:r>
      <w:r>
        <w:t xml:space="preserve"> </w:t>
      </w:r>
      <w:hyperlink r:id="rId1" w:history="1">
        <w:r w:rsidRPr="00F10990">
          <w:rPr>
            <w:rStyle w:val="Hyperlink"/>
          </w:rPr>
          <w:t>bstaver@gatech.edu</w:t>
        </w:r>
      </w:hyperlink>
      <w:r>
        <w:t xml:space="preserve"> </w:t>
      </w:r>
    </w:p>
  </w:footnote>
  <w:footnote w:id="2">
    <w:p w14:paraId="1A24BB78" w14:textId="3CF081F2" w:rsidR="004B39B5" w:rsidRDefault="004B39B5">
      <w:pPr>
        <w:pStyle w:val="FootnoteText"/>
      </w:pPr>
      <w:r>
        <w:rPr>
          <w:rStyle w:val="FootnoteReference"/>
        </w:rPr>
        <w:footnoteRef/>
      </w:r>
      <w:r>
        <w:t xml:space="preserve"> </w:t>
      </w:r>
      <w:hyperlink r:id="rId2" w:history="1">
        <w:r w:rsidRPr="00F10990">
          <w:rPr>
            <w:rStyle w:val="Hyperlink"/>
          </w:rPr>
          <w:t>asmith313@gatech.edu</w:t>
        </w:r>
      </w:hyperlink>
      <w:r>
        <w:t xml:space="preserve"> </w:t>
      </w:r>
    </w:p>
  </w:footnote>
  <w:footnote w:id="3">
    <w:p w14:paraId="0E38BBAB" w14:textId="3636A43A" w:rsidR="004B39B5" w:rsidRDefault="004B39B5">
      <w:pPr>
        <w:pStyle w:val="FootnoteText"/>
      </w:pPr>
      <w:r>
        <w:rPr>
          <w:rStyle w:val="FootnoteReference"/>
        </w:rPr>
        <w:footnoteRef/>
      </w:r>
      <w:r>
        <w:t xml:space="preserve"> </w:t>
      </w:r>
      <w:hyperlink r:id="rId3" w:history="1">
        <w:r w:rsidRPr="00F10990">
          <w:rPr>
            <w:rStyle w:val="Hyperlink"/>
          </w:rPr>
          <w:t>jsibley@southface.org</w:t>
        </w:r>
      </w:hyperlink>
      <w:r>
        <w:t xml:space="preserve"> </w:t>
      </w:r>
    </w:p>
  </w:footnote>
  <w:footnote w:id="4">
    <w:p w14:paraId="31845721" w14:textId="66619A3A" w:rsidR="004B39B5" w:rsidRDefault="004B39B5">
      <w:pPr>
        <w:pStyle w:val="FootnoteText"/>
      </w:pPr>
      <w:r>
        <w:rPr>
          <w:rStyle w:val="FootnoteReference"/>
        </w:rPr>
        <w:footnoteRef/>
      </w:r>
      <w:r>
        <w:t xml:space="preserve"> </w:t>
      </w:r>
      <w:hyperlink r:id="rId4" w:history="1">
        <w:r w:rsidRPr="00F10990">
          <w:rPr>
            <w:rStyle w:val="Hyperlink"/>
          </w:rPr>
          <w:t>marilyn.brown@pubpolicy.gatech.edu</w:t>
        </w:r>
      </w:hyperlink>
      <w:r>
        <w:t xml:space="preserve"> </w:t>
      </w:r>
    </w:p>
  </w:footnote>
  <w:footnote w:id="5">
    <w:p w14:paraId="770B1AC6" w14:textId="210EC560" w:rsidR="004B39B5" w:rsidRDefault="004B39B5" w:rsidP="002B7FB8">
      <w:pPr>
        <w:pStyle w:val="FootnoteText"/>
      </w:pPr>
      <w:r>
        <w:rPr>
          <w:rStyle w:val="FootnoteReference"/>
        </w:rPr>
        <w:footnoteRef/>
      </w:r>
      <w:r>
        <w:t xml:space="preserve"> </w:t>
      </w:r>
      <w:r w:rsidRPr="00B52CF4">
        <w:t>http://cepl.gatech.edu/drupal/node/69</w:t>
      </w:r>
    </w:p>
  </w:footnote>
  <w:footnote w:id="6">
    <w:p w14:paraId="3D0F55D2" w14:textId="77777777" w:rsidR="004B39B5" w:rsidRDefault="004B39B5">
      <w:pPr>
        <w:pStyle w:val="FootnoteText"/>
      </w:pPr>
      <w:r>
        <w:rPr>
          <w:rStyle w:val="FootnoteReference"/>
        </w:rPr>
        <w:footnoteRef/>
      </w:r>
      <w:r>
        <w:t xml:space="preserve"> In some utility territories retail sales to other customer classes may be significant, such as agricultural. In this case, the data can be grouped with whichever customer class is more similar.</w:t>
      </w:r>
    </w:p>
  </w:footnote>
  <w:footnote w:id="7">
    <w:p w14:paraId="105C220C" w14:textId="77777777" w:rsidR="004B39B5" w:rsidRDefault="004B39B5">
      <w:pPr>
        <w:pStyle w:val="FootnoteText"/>
      </w:pPr>
      <w:r>
        <w:rPr>
          <w:rStyle w:val="FootnoteReference"/>
        </w:rPr>
        <w:footnoteRef/>
      </w:r>
      <w:r>
        <w:t xml:space="preserve"> Much of the same information may be found in a utility annual report in a friendlier format.</w:t>
      </w:r>
    </w:p>
  </w:footnote>
  <w:footnote w:id="8">
    <w:p w14:paraId="3992E826" w14:textId="77777777" w:rsidR="004B39B5" w:rsidRDefault="004B39B5">
      <w:pPr>
        <w:pStyle w:val="FootnoteText"/>
      </w:pPr>
      <w:r>
        <w:rPr>
          <w:rStyle w:val="FootnoteReference"/>
        </w:rPr>
        <w:footnoteRef/>
      </w:r>
      <w:r>
        <w:t xml:space="preserve"> Either ‘Planning Area Hourly Demand’ (search by reporting year) for actual years or ‘Planning Area Forecast Demand’ (search by reporting utility and reporting year) for projected years</w:t>
      </w:r>
    </w:p>
  </w:footnote>
  <w:footnote w:id="9">
    <w:p w14:paraId="53E0BFB6" w14:textId="77777777" w:rsidR="004B39B5" w:rsidRDefault="004B39B5">
      <w:pPr>
        <w:pStyle w:val="FootnoteText"/>
      </w:pPr>
      <w:r>
        <w:rPr>
          <w:rStyle w:val="FootnoteReference"/>
        </w:rPr>
        <w:footnoteRef/>
      </w:r>
      <w:r>
        <w:t xml:space="preserve"> Planning Area Forecast Demand (search by reporting utility and reporting year)</w:t>
      </w:r>
    </w:p>
  </w:footnote>
  <w:footnote w:id="10">
    <w:p w14:paraId="70279503" w14:textId="77777777" w:rsidR="004B39B5" w:rsidRDefault="004B39B5">
      <w:pPr>
        <w:pStyle w:val="FootnoteText"/>
      </w:pPr>
      <w:r>
        <w:rPr>
          <w:rStyle w:val="FootnoteReference"/>
        </w:rPr>
        <w:footnoteRef/>
      </w:r>
      <w:r>
        <w:t xml:space="preserve"> Instead of using filed data, alternative program scenarios can be entered. The tool does not validate the feasibility of these alternative scenarios.</w:t>
      </w:r>
    </w:p>
  </w:footnote>
  <w:footnote w:id="11">
    <w:p w14:paraId="398C8382" w14:textId="77777777" w:rsidR="004B39B5" w:rsidRDefault="004B39B5">
      <w:pPr>
        <w:pStyle w:val="FootnoteText"/>
      </w:pPr>
      <w:r>
        <w:rPr>
          <w:rStyle w:val="FootnoteReference"/>
        </w:rPr>
        <w:footnoteRef/>
      </w:r>
      <w:r>
        <w:t xml:space="preserve"> This alternative method would allow for testing of ramp up periods and other non-uniform rates of change in programs.</w:t>
      </w:r>
    </w:p>
  </w:footnote>
  <w:footnote w:id="12">
    <w:p w14:paraId="6D0032B4" w14:textId="77777777" w:rsidR="004B39B5" w:rsidRDefault="004B39B5" w:rsidP="008920D8">
      <w:pPr>
        <w:pStyle w:val="FootnoteText"/>
      </w:pPr>
      <w:r>
        <w:rPr>
          <w:rStyle w:val="FootnoteReference"/>
        </w:rPr>
        <w:footnoteRef/>
      </w:r>
      <w:r>
        <w:t xml:space="preserve"> Nominal dollars should be used and is the standard in SEC fillings as well as utility forecasting but is not the standard for EIA forecasting, which uses real dollars.</w:t>
      </w:r>
    </w:p>
  </w:footnote>
  <w:footnote w:id="13">
    <w:p w14:paraId="78569865" w14:textId="77777777" w:rsidR="004B39B5" w:rsidRDefault="004B39B5" w:rsidP="008920D8">
      <w:pPr>
        <w:pStyle w:val="FootnoteText"/>
      </w:pPr>
      <w:r>
        <w:rPr>
          <w:rStyle w:val="FootnoteReference"/>
        </w:rPr>
        <w:footnoteRef/>
      </w:r>
      <w:r>
        <w:t xml:space="preserve"> This alternative method would allow for testing of ramp up periods and other non-uniform rates of change in programs.</w:t>
      </w:r>
    </w:p>
  </w:footnote>
  <w:footnote w:id="14">
    <w:p w14:paraId="2D216097" w14:textId="77777777" w:rsidR="004B39B5" w:rsidRDefault="004B39B5" w:rsidP="008920D8">
      <w:pPr>
        <w:pStyle w:val="FootnoteText"/>
      </w:pPr>
      <w:r>
        <w:rPr>
          <w:rStyle w:val="FootnoteReference"/>
        </w:rPr>
        <w:footnoteRef/>
      </w:r>
      <w:r>
        <w:t xml:space="preserve"> Nominal dollars should be used and is the standard in SEC fillings as well as utility forecasting but is not the standard for EIA forecasting, which uses real dollars.</w:t>
      </w:r>
    </w:p>
  </w:footnote>
  <w:footnote w:id="15">
    <w:p w14:paraId="6C0B931F" w14:textId="77777777" w:rsidR="004B39B5" w:rsidRDefault="004B39B5">
      <w:pPr>
        <w:pStyle w:val="FootnoteText"/>
      </w:pPr>
      <w:r>
        <w:rPr>
          <w:rStyle w:val="FootnoteReference"/>
        </w:rPr>
        <w:footnoteRef/>
      </w:r>
      <w:r>
        <w:t xml:space="preserve"> This alternative method would allow for testing of ramp up periods and other non-uniform rates of change in programs.</w:t>
      </w:r>
    </w:p>
  </w:footnote>
  <w:footnote w:id="16">
    <w:p w14:paraId="1317F58A" w14:textId="4C2F9238" w:rsidR="004B39B5" w:rsidRDefault="004B39B5">
      <w:pPr>
        <w:pStyle w:val="FootnoteText"/>
      </w:pPr>
      <w:r>
        <w:rPr>
          <w:rStyle w:val="FootnoteReference"/>
        </w:rPr>
        <w:footnoteRef/>
      </w:r>
      <w:r>
        <w:t xml:space="preserve"> This supplementary tool to the GT-DSM tool can be found in the same place.</w:t>
      </w:r>
    </w:p>
  </w:footnote>
  <w:footnote w:id="17">
    <w:p w14:paraId="3879F633" w14:textId="0CD9706D" w:rsidR="004B39B5" w:rsidRDefault="004B39B5">
      <w:pPr>
        <w:pStyle w:val="FootnoteText"/>
      </w:pPr>
      <w:r>
        <w:rPr>
          <w:rStyle w:val="FootnoteReference"/>
        </w:rPr>
        <w:footnoteRef/>
      </w:r>
      <w:r>
        <w:t xml:space="preserve"> The default value in the model can be used to reduce the intensity of calculations. The lifetime entered represents a program with savings being primarily from lighting and refrigerator and freezer retirement. </w:t>
      </w:r>
    </w:p>
  </w:footnote>
  <w:footnote w:id="18">
    <w:p w14:paraId="4B22CE7B" w14:textId="77777777" w:rsidR="004B39B5" w:rsidRDefault="004B39B5" w:rsidP="00D6208F">
      <w:pPr>
        <w:pStyle w:val="FootnoteText"/>
      </w:pPr>
      <w:r>
        <w:rPr>
          <w:rStyle w:val="FootnoteReference"/>
        </w:rPr>
        <w:footnoteRef/>
      </w:r>
      <w:r>
        <w:t xml:space="preserve"> This refers to a 2013 report by the National Renewables Energy Laboratory on the persistence of savings from energy efficiency measures and programs. Available at </w:t>
      </w:r>
      <w:hyperlink r:id="rId5" w:history="1">
        <w:r w:rsidRPr="00252CDA">
          <w:rPr>
            <w:rStyle w:val="Hyperlink"/>
          </w:rPr>
          <w:t>http://www.nrel.gov/docs/fy13osti/53827.pdf</w:t>
        </w:r>
      </w:hyperlink>
    </w:p>
  </w:footnote>
  <w:footnote w:id="19">
    <w:p w14:paraId="19336A8E" w14:textId="2CFFD490" w:rsidR="004B39B5" w:rsidRDefault="004B39B5">
      <w:pPr>
        <w:pStyle w:val="FootnoteText"/>
      </w:pPr>
      <w:r>
        <w:rPr>
          <w:rStyle w:val="FootnoteReference"/>
        </w:rPr>
        <w:footnoteRef/>
      </w:r>
      <w:r>
        <w:t xml:space="preserve"> Calculations in the model are based on NAPEE report called Aligning Utility Incentives with Investment in EE (2007)</w:t>
      </w:r>
    </w:p>
  </w:footnote>
  <w:footnote w:id="20">
    <w:p w14:paraId="5C57249D" w14:textId="439199FA" w:rsidR="004B39B5" w:rsidRDefault="004B39B5">
      <w:pPr>
        <w:pStyle w:val="FootnoteText"/>
      </w:pPr>
      <w:r>
        <w:rPr>
          <w:rStyle w:val="FootnoteReference"/>
        </w:rPr>
        <w:footnoteRef/>
      </w:r>
      <w:r>
        <w:t xml:space="preserve"> If the peak period entered in ‘Peak Duration’ is larger than that used for cost and capacity then the impacts of the EE program will likely be over estimated and under estimated if the discrepancy is reversed.</w:t>
      </w:r>
    </w:p>
  </w:footnote>
  <w:footnote w:id="21">
    <w:p w14:paraId="34429797" w14:textId="24575DC1" w:rsidR="004B39B5" w:rsidRDefault="004B39B5">
      <w:pPr>
        <w:pStyle w:val="FootnoteText"/>
      </w:pPr>
      <w:r>
        <w:rPr>
          <w:rStyle w:val="FootnoteReference"/>
        </w:rPr>
        <w:footnoteRef/>
      </w:r>
      <w:r>
        <w:t xml:space="preserve"> This can be different from the peak period defined for the purpose of calculating QF Avoided cost and care should be taken. </w:t>
      </w:r>
    </w:p>
  </w:footnote>
  <w:footnote w:id="22">
    <w:p w14:paraId="22158EA1" w14:textId="25BCBD8B" w:rsidR="004B39B5" w:rsidRDefault="004B39B5" w:rsidP="002211B9">
      <w:pPr>
        <w:pStyle w:val="FootnoteText"/>
      </w:pPr>
      <w:r>
        <w:rPr>
          <w:rStyle w:val="FootnoteReference"/>
        </w:rPr>
        <w:footnoteRef/>
      </w:r>
      <w:r>
        <w:t xml:space="preserve"> ‘Planning Area Hourly Demand’ (search by reporting year)</w:t>
      </w:r>
    </w:p>
  </w:footnote>
  <w:footnote w:id="23">
    <w:p w14:paraId="0906563E" w14:textId="77777777" w:rsidR="004B39B5" w:rsidRDefault="004B39B5" w:rsidP="00D6208F">
      <w:pPr>
        <w:pStyle w:val="FootnoteText"/>
      </w:pPr>
      <w:r>
        <w:rPr>
          <w:rStyle w:val="FootnoteReference"/>
        </w:rPr>
        <w:footnoteRef/>
      </w:r>
      <w:r>
        <w:t xml:space="preserve"> For example, the database at this link: </w:t>
      </w:r>
      <w:hyperlink r:id="rId6" w:history="1">
        <w:r w:rsidRPr="00023858">
          <w:rPr>
            <w:rStyle w:val="Hyperlink"/>
          </w:rPr>
          <w:t>http://en.openei.org/datasets/node/903</w:t>
        </w:r>
      </w:hyperlink>
    </w:p>
  </w:footnote>
  <w:footnote w:id="24">
    <w:p w14:paraId="05FAA9F5" w14:textId="35C0CB90" w:rsidR="004B39B5" w:rsidRDefault="004B39B5">
      <w:pPr>
        <w:pStyle w:val="FootnoteText"/>
      </w:pPr>
      <w:r>
        <w:rPr>
          <w:rStyle w:val="FootnoteReference"/>
        </w:rPr>
        <w:footnoteRef/>
      </w:r>
      <w:r>
        <w:t xml:space="preserve"> To fit a line in excel, create a chart containing a scatter plot of system lambda versus system demand from the FERC 714 Schedule 2. From this plot, create a trendline to get the marginal cost curve. This can be done using the Trendline tool under Analysis in excel (</w:t>
      </w:r>
      <w:hyperlink r:id="rId7" w:history="1">
        <w:r>
          <w:rPr>
            <w:rStyle w:val="Hyperlink"/>
          </w:rPr>
          <w:t>http://office.microsoft.com/en-us/excel-help/add-change-or-remove-a-trendline-in-a-chart-HP010007461.aspx</w:t>
        </w:r>
      </w:hyperlink>
      <w:r>
        <w:rPr>
          <w:rStyle w:val="Hyperlink"/>
        </w:rPr>
        <w:t>)</w:t>
      </w:r>
      <w:r>
        <w:t>. 3 years of data is the norm but more or less can be used with good rational.</w:t>
      </w:r>
    </w:p>
  </w:footnote>
  <w:footnote w:id="25">
    <w:p w14:paraId="36158D75" w14:textId="77777777" w:rsidR="004B39B5" w:rsidRDefault="004B39B5" w:rsidP="0069380F">
      <w:pPr>
        <w:pStyle w:val="FootnoteText"/>
      </w:pPr>
      <w:r>
        <w:rPr>
          <w:rStyle w:val="FootnoteReference"/>
        </w:rPr>
        <w:footnoteRef/>
      </w:r>
      <w:r>
        <w:t xml:space="preserve"> These represent the marginal costs of production for each hour of the year</w:t>
      </w:r>
    </w:p>
  </w:footnote>
  <w:footnote w:id="26">
    <w:p w14:paraId="13F5E721" w14:textId="77777777" w:rsidR="00EF76C7" w:rsidRDefault="00EF76C7" w:rsidP="00EF76C7">
      <w:pPr>
        <w:pStyle w:val="FootnoteText"/>
      </w:pPr>
      <w:r>
        <w:rPr>
          <w:rStyle w:val="FootnoteReference"/>
        </w:rPr>
        <w:footnoteRef/>
      </w:r>
      <w:r>
        <w:t xml:space="preserve"> QF Avoided Cost values should serve and help maintain consistency with the utility. However, if there are strong reasons to believe that the QF Avoided Cost values are inaccurate, users are encouraged to use FERC Form 714 hourly system lambda data.</w:t>
      </w:r>
    </w:p>
  </w:footnote>
  <w:footnote w:id="27">
    <w:p w14:paraId="4F7C44CC" w14:textId="77777777" w:rsidR="004B39B5" w:rsidRDefault="004B39B5" w:rsidP="0069380F">
      <w:pPr>
        <w:pStyle w:val="FootnoteText"/>
      </w:pPr>
      <w:r>
        <w:rPr>
          <w:rStyle w:val="FootnoteReference"/>
        </w:rPr>
        <w:footnoteRef/>
      </w:r>
      <w:r>
        <w:t xml:space="preserve"> These represent the marginal costs of production for each hour of the year</w:t>
      </w:r>
    </w:p>
  </w:footnote>
  <w:footnote w:id="28">
    <w:p w14:paraId="175B8C63" w14:textId="55E79F8B" w:rsidR="004B39B5" w:rsidRDefault="004B39B5">
      <w:pPr>
        <w:pStyle w:val="FootnoteText"/>
      </w:pPr>
      <w:r>
        <w:rPr>
          <w:rStyle w:val="FootnoteReference"/>
        </w:rPr>
        <w:footnoteRef/>
      </w:r>
      <w:r>
        <w:t xml:space="preserve"> To fit a line in excel, create a chart containing a scatter plot of system lambda versus system demand from the FERC 714 Schedule 2. From this plot, create a trendline to get the marginal cost curve. This can be done using the Trendline tool under Analysis in excel (</w:t>
      </w:r>
      <w:hyperlink r:id="rId8" w:history="1">
        <w:r>
          <w:rPr>
            <w:rStyle w:val="Hyperlink"/>
          </w:rPr>
          <w:t>http://office.microsoft.com/en-us/excel-help/add-change-or-remove-a-trendline-in-a-chart-HP010007461.aspx</w:t>
        </w:r>
      </w:hyperlink>
      <w:r>
        <w:rPr>
          <w:rStyle w:val="Hyperlink"/>
        </w:rPr>
        <w:t>)</w:t>
      </w:r>
      <w:r>
        <w:t>. 3 years of data is the norm but more or less can be used with good rational.</w:t>
      </w:r>
    </w:p>
  </w:footnote>
  <w:footnote w:id="29">
    <w:p w14:paraId="702EDA4D" w14:textId="77777777" w:rsidR="00EF76C7" w:rsidRDefault="00EF76C7" w:rsidP="00EF76C7">
      <w:pPr>
        <w:pStyle w:val="FootnoteText"/>
      </w:pPr>
      <w:r>
        <w:rPr>
          <w:rStyle w:val="FootnoteReference"/>
        </w:rPr>
        <w:footnoteRef/>
      </w:r>
      <w:r>
        <w:t xml:space="preserve"> QF Avoided Cost values should serve and help maintain consistency with the utility. However, if there are strong reasons to believe that the QF Avoided Cost values are inaccurate, users are encouraged to use FERC Form 714 hourly system lambda data.</w:t>
      </w:r>
    </w:p>
  </w:footnote>
  <w:footnote w:id="30">
    <w:p w14:paraId="614F9AE9" w14:textId="77777777" w:rsidR="004B39B5" w:rsidRDefault="004B39B5" w:rsidP="0069380F">
      <w:pPr>
        <w:pStyle w:val="FootnoteText"/>
      </w:pPr>
      <w:r>
        <w:rPr>
          <w:rStyle w:val="FootnoteReference"/>
        </w:rPr>
        <w:footnoteRef/>
      </w:r>
      <w:r>
        <w:t xml:space="preserve"> These represent the marginal costs of production for each hour of the year</w:t>
      </w:r>
    </w:p>
  </w:footnote>
  <w:footnote w:id="31">
    <w:p w14:paraId="600DC12B" w14:textId="77777777" w:rsidR="004B39B5" w:rsidRDefault="004B39B5">
      <w:pPr>
        <w:pStyle w:val="FootnoteText"/>
      </w:pPr>
      <w:r>
        <w:rPr>
          <w:rStyle w:val="FootnoteReference"/>
        </w:rPr>
        <w:footnoteRef/>
      </w:r>
      <w:r>
        <w:t xml:space="preserve"> This alternative method would allow for testing of ramp up periods and other non-uniform rates of change in the program.</w:t>
      </w:r>
    </w:p>
  </w:footnote>
  <w:footnote w:id="32">
    <w:p w14:paraId="0AB88396" w14:textId="77777777" w:rsidR="004B39B5" w:rsidRDefault="004B39B5" w:rsidP="00BC7979">
      <w:pPr>
        <w:pStyle w:val="FootnoteText"/>
      </w:pPr>
      <w:r>
        <w:rPr>
          <w:rStyle w:val="FootnoteReference"/>
        </w:rPr>
        <w:footnoteRef/>
      </w:r>
      <w:r>
        <w:t xml:space="preserve"> These represent the marginal costs of production for each hour of the year</w:t>
      </w:r>
    </w:p>
  </w:footnote>
  <w:footnote w:id="33">
    <w:p w14:paraId="639CD9B9" w14:textId="77777777" w:rsidR="004B39B5" w:rsidRDefault="004B39B5" w:rsidP="00BC7979">
      <w:pPr>
        <w:pStyle w:val="FootnoteText"/>
      </w:pPr>
      <w:r>
        <w:rPr>
          <w:rStyle w:val="FootnoteReference"/>
        </w:rPr>
        <w:footnoteRef/>
      </w:r>
      <w:r>
        <w:t xml:space="preserve"> QF Avoided Cost values should serve and help maintain consistency with the utility. However, if there are strong reasons to believe that the QF Avoided Cost values are inaccurate, users are encouraged to use FERC Form 714 hourly system lambda data.</w:t>
      </w:r>
    </w:p>
  </w:footnote>
  <w:footnote w:id="34">
    <w:p w14:paraId="28D91F05" w14:textId="53E8B7A1" w:rsidR="004B39B5" w:rsidRDefault="004B39B5">
      <w:pPr>
        <w:pStyle w:val="FootnoteText"/>
      </w:pPr>
      <w:r>
        <w:rPr>
          <w:rStyle w:val="FootnoteReference"/>
        </w:rPr>
        <w:footnoteRef/>
      </w:r>
      <w:r>
        <w:t xml:space="preserve"> O&amp;M can be divided into fixed and variable portions. The fixed portion is used in the calculations of fixed revenue requirements, while the variable portion is used in the calculations of variable revenue requirements. </w:t>
      </w:r>
    </w:p>
  </w:footnote>
  <w:footnote w:id="35">
    <w:p w14:paraId="48F919D1" w14:textId="2CF886CC" w:rsidR="004B39B5" w:rsidRDefault="004B39B5">
      <w:pPr>
        <w:pStyle w:val="FootnoteText"/>
      </w:pPr>
      <w:r>
        <w:rPr>
          <w:rStyle w:val="FootnoteReference"/>
        </w:rPr>
        <w:footnoteRef/>
      </w:r>
      <w:r>
        <w:t xml:space="preserve"> </w:t>
      </w:r>
      <w:r w:rsidRPr="00756020">
        <w:t>http://www.energy.ca.gov/greenbuilding/documents/background/07-J_CPUC_STANDARD_PRACTICE_MANUAL.PDF</w:t>
      </w:r>
    </w:p>
  </w:footnote>
  <w:footnote w:id="36">
    <w:p w14:paraId="4C199C9C" w14:textId="2F1DF8AD" w:rsidR="004B39B5" w:rsidRDefault="004B39B5" w:rsidP="00ED71B2">
      <w:pPr>
        <w:pStyle w:val="FootnoteText"/>
      </w:pPr>
      <w:r>
        <w:rPr>
          <w:rStyle w:val="FootnoteReference"/>
        </w:rPr>
        <w:footnoteRef/>
      </w:r>
      <w:r>
        <w:t xml:space="preserve"> The Societal Resource Cost test (SRC) is omitted from this model because societal impacts are difficult to quantify and generally have not become a key point of discussion in state-level regulatory dialogues concerning ratepayer-funded energy efficiency programs.</w:t>
      </w:r>
    </w:p>
  </w:footnote>
  <w:footnote w:id="37">
    <w:p w14:paraId="0D78221B" w14:textId="20AF5CD0" w:rsidR="004B39B5" w:rsidRDefault="004B39B5">
      <w:pPr>
        <w:pStyle w:val="FootnoteText"/>
      </w:pPr>
      <w:r>
        <w:rPr>
          <w:rStyle w:val="FootnoteReference"/>
        </w:rPr>
        <w:footnoteRef/>
      </w:r>
      <w:r>
        <w:t xml:space="preserve"> Two different time horizons are used in displaying the NPV results of the CBA tests because some utility programs report short time horizons, such as 10 years, even though the measures deployed in those 10 years are likely to continue delivering savings long after the 10 years have expired.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B61B" w14:textId="77777777" w:rsidR="004B39B5" w:rsidRDefault="004B39B5">
    <w:pPr>
      <w:pStyle w:val="Header"/>
      <w:ind w:right="360"/>
    </w:pPr>
    <w:r>
      <w:fldChar w:fldCharType="begin"/>
    </w:r>
    <w:r>
      <w:instrText xml:space="preserve"> PAGE </w:instrText>
    </w:r>
    <w:r>
      <w:fldChar w:fldCharType="separate"/>
    </w:r>
    <w:r>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E9734" w14:textId="77777777" w:rsidR="004B39B5" w:rsidRDefault="004B39B5">
    <w:pPr>
      <w:pStyle w:val="Header"/>
      <w:tabs>
        <w:tab w:val="clear" w:pos="8640"/>
        <w:tab w:val="right" w:pos="8190"/>
      </w:tabs>
      <w:ind w:right="360"/>
      <w:jc w:val="right"/>
    </w:pPr>
    <w:r>
      <w:rPr>
        <w:rFonts w:ascii="Calibri" w:hAnsi="Calibri" w:cs="Calibri"/>
        <w:b/>
        <w:bCs/>
        <w:caps/>
        <w:color w:val="595959"/>
      </w:rPr>
      <w:t>Manual FOR GT-DSM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0878A" w14:textId="77777777" w:rsidR="004B39B5" w:rsidRDefault="004B39B5">
    <w:pPr>
      <w:jc w:val="right"/>
    </w:pPr>
    <w:r>
      <w:rPr>
        <w:rFonts w:ascii="Calibri" w:hAnsi="Calibri" w:cs="Calibri"/>
        <w:b/>
        <w:bCs/>
        <w:caps/>
        <w:color w:val="595959"/>
      </w:rPr>
      <w:t>Manual FOR GT-DSM</w:t>
    </w:r>
  </w:p>
  <w:p w14:paraId="3D6C88A2" w14:textId="77777777" w:rsidR="004B39B5" w:rsidRDefault="004B39B5">
    <w:pPr>
      <w:pStyle w:val="Header"/>
      <w:ind w:right="360"/>
    </w:pPr>
    <w:r>
      <w:fldChar w:fldCharType="begin"/>
    </w:r>
    <w:r>
      <w:instrText xml:space="preserve"> PAGE </w:instrText>
    </w:r>
    <w:r>
      <w:fldChar w:fldCharType="separate"/>
    </w:r>
    <w:r w:rsidR="00A57276">
      <w:rPr>
        <w:noProof/>
      </w:rPr>
      <w:t>20</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7B277" w14:textId="77777777" w:rsidR="004B39B5" w:rsidRDefault="004B39B5">
    <w:pPr>
      <w:jc w:val="right"/>
    </w:pPr>
    <w:r>
      <w:rPr>
        <w:rFonts w:ascii="Calibri" w:hAnsi="Calibri" w:cs="Calibri"/>
        <w:b/>
        <w:bCs/>
        <w:caps/>
        <w:color w:val="595959"/>
      </w:rPr>
      <w:t>Manual FOR GT-DSM</w:t>
    </w:r>
  </w:p>
  <w:p w14:paraId="6436667B" w14:textId="77777777" w:rsidR="004B39B5" w:rsidRDefault="004B39B5">
    <w:pPr>
      <w:pStyle w:val="Header"/>
      <w:ind w:right="360"/>
    </w:pPr>
    <w:r>
      <w:fldChar w:fldCharType="begin"/>
    </w:r>
    <w:r>
      <w:instrText xml:space="preserve"> PAGE </w:instrText>
    </w:r>
    <w:r>
      <w:fldChar w:fldCharType="separate"/>
    </w:r>
    <w:r w:rsidR="00A57276">
      <w:rPr>
        <w:noProof/>
      </w:rPr>
      <w:t>19</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CB6A7" w14:textId="77777777" w:rsidR="004B39B5" w:rsidRDefault="004B39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EB45F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C8C0E46E"/>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rPr>
        <w:color w:val="4F81BD"/>
      </w:r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2">
    <w:nsid w:val="00000002"/>
    <w:multiLevelType w:val="multilevel"/>
    <w:tmpl w:val="00000002"/>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63D76C7"/>
    <w:multiLevelType w:val="hybridMultilevel"/>
    <w:tmpl w:val="1E82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B809DD"/>
    <w:multiLevelType w:val="hybridMultilevel"/>
    <w:tmpl w:val="26A25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A607B"/>
    <w:multiLevelType w:val="hybridMultilevel"/>
    <w:tmpl w:val="3F3C4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B12C3A"/>
    <w:multiLevelType w:val="hybridMultilevel"/>
    <w:tmpl w:val="B5B2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DC5FA4"/>
    <w:multiLevelType w:val="hybridMultilevel"/>
    <w:tmpl w:val="A778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7F5"/>
    <w:rsid w:val="000036F4"/>
    <w:rsid w:val="00004600"/>
    <w:rsid w:val="00011359"/>
    <w:rsid w:val="00013ED5"/>
    <w:rsid w:val="000212CF"/>
    <w:rsid w:val="00027684"/>
    <w:rsid w:val="00031172"/>
    <w:rsid w:val="00035A08"/>
    <w:rsid w:val="000418F8"/>
    <w:rsid w:val="000427D8"/>
    <w:rsid w:val="00047F4D"/>
    <w:rsid w:val="00052AA2"/>
    <w:rsid w:val="00057B29"/>
    <w:rsid w:val="000618F8"/>
    <w:rsid w:val="000628BB"/>
    <w:rsid w:val="00064E21"/>
    <w:rsid w:val="00065949"/>
    <w:rsid w:val="000719BC"/>
    <w:rsid w:val="00072DC2"/>
    <w:rsid w:val="000769D5"/>
    <w:rsid w:val="00081D52"/>
    <w:rsid w:val="00090F6E"/>
    <w:rsid w:val="00091363"/>
    <w:rsid w:val="000924AC"/>
    <w:rsid w:val="00093558"/>
    <w:rsid w:val="000938AF"/>
    <w:rsid w:val="000A550B"/>
    <w:rsid w:val="000B088F"/>
    <w:rsid w:val="000B11E9"/>
    <w:rsid w:val="000B2233"/>
    <w:rsid w:val="000B41FD"/>
    <w:rsid w:val="000B50AC"/>
    <w:rsid w:val="000B5588"/>
    <w:rsid w:val="000C5FFA"/>
    <w:rsid w:val="000D04EE"/>
    <w:rsid w:val="000D10DC"/>
    <w:rsid w:val="000D4650"/>
    <w:rsid w:val="000E217F"/>
    <w:rsid w:val="000E2CF4"/>
    <w:rsid w:val="000F0FFC"/>
    <w:rsid w:val="00106D2C"/>
    <w:rsid w:val="00107D6B"/>
    <w:rsid w:val="00112E5A"/>
    <w:rsid w:val="001151BB"/>
    <w:rsid w:val="00116F23"/>
    <w:rsid w:val="0011772E"/>
    <w:rsid w:val="0013262B"/>
    <w:rsid w:val="00133E8B"/>
    <w:rsid w:val="00136402"/>
    <w:rsid w:val="00143A94"/>
    <w:rsid w:val="001514BE"/>
    <w:rsid w:val="00157B33"/>
    <w:rsid w:val="00161ACD"/>
    <w:rsid w:val="0016502F"/>
    <w:rsid w:val="001807B1"/>
    <w:rsid w:val="00182541"/>
    <w:rsid w:val="00182F8E"/>
    <w:rsid w:val="001845E3"/>
    <w:rsid w:val="001855C5"/>
    <w:rsid w:val="001A31EC"/>
    <w:rsid w:val="001A7CEA"/>
    <w:rsid w:val="001B5F6A"/>
    <w:rsid w:val="001C17D0"/>
    <w:rsid w:val="001C68D3"/>
    <w:rsid w:val="001D01E6"/>
    <w:rsid w:val="001D17DB"/>
    <w:rsid w:val="001E203D"/>
    <w:rsid w:val="001E56D8"/>
    <w:rsid w:val="001E7730"/>
    <w:rsid w:val="00201D92"/>
    <w:rsid w:val="00201F9C"/>
    <w:rsid w:val="002048F6"/>
    <w:rsid w:val="00204C86"/>
    <w:rsid w:val="00207C6C"/>
    <w:rsid w:val="002211B9"/>
    <w:rsid w:val="00224400"/>
    <w:rsid w:val="00231857"/>
    <w:rsid w:val="00233693"/>
    <w:rsid w:val="00234178"/>
    <w:rsid w:val="00237BA2"/>
    <w:rsid w:val="002468EF"/>
    <w:rsid w:val="00256E53"/>
    <w:rsid w:val="00270307"/>
    <w:rsid w:val="00270901"/>
    <w:rsid w:val="00271FC8"/>
    <w:rsid w:val="00272DD5"/>
    <w:rsid w:val="00275BC7"/>
    <w:rsid w:val="00282BDC"/>
    <w:rsid w:val="0028593D"/>
    <w:rsid w:val="002861BE"/>
    <w:rsid w:val="00292049"/>
    <w:rsid w:val="002927AD"/>
    <w:rsid w:val="002A25D4"/>
    <w:rsid w:val="002B1FC8"/>
    <w:rsid w:val="002B3731"/>
    <w:rsid w:val="002B3A6E"/>
    <w:rsid w:val="002B5292"/>
    <w:rsid w:val="002B7FB8"/>
    <w:rsid w:val="002C60BB"/>
    <w:rsid w:val="002D1B45"/>
    <w:rsid w:val="002D4B73"/>
    <w:rsid w:val="002D61F6"/>
    <w:rsid w:val="002D6287"/>
    <w:rsid w:val="002E2667"/>
    <w:rsid w:val="002F1564"/>
    <w:rsid w:val="002F5491"/>
    <w:rsid w:val="002F5DB0"/>
    <w:rsid w:val="002F73D2"/>
    <w:rsid w:val="003009BC"/>
    <w:rsid w:val="00303D1E"/>
    <w:rsid w:val="00310699"/>
    <w:rsid w:val="0031364D"/>
    <w:rsid w:val="003167C1"/>
    <w:rsid w:val="00316ADF"/>
    <w:rsid w:val="003247B4"/>
    <w:rsid w:val="0033542E"/>
    <w:rsid w:val="003360A8"/>
    <w:rsid w:val="003432AD"/>
    <w:rsid w:val="00344B77"/>
    <w:rsid w:val="00353EE7"/>
    <w:rsid w:val="0036083C"/>
    <w:rsid w:val="003653F9"/>
    <w:rsid w:val="00365FE6"/>
    <w:rsid w:val="00371044"/>
    <w:rsid w:val="0038793E"/>
    <w:rsid w:val="00395C4F"/>
    <w:rsid w:val="00397B20"/>
    <w:rsid w:val="003A256E"/>
    <w:rsid w:val="003A70D3"/>
    <w:rsid w:val="003B7507"/>
    <w:rsid w:val="003B7E9D"/>
    <w:rsid w:val="003C07F5"/>
    <w:rsid w:val="003C26B7"/>
    <w:rsid w:val="003C4789"/>
    <w:rsid w:val="003C7495"/>
    <w:rsid w:val="003C7F6D"/>
    <w:rsid w:val="003D2803"/>
    <w:rsid w:val="003D2B75"/>
    <w:rsid w:val="003D4281"/>
    <w:rsid w:val="003D4962"/>
    <w:rsid w:val="003E32BE"/>
    <w:rsid w:val="003E5C44"/>
    <w:rsid w:val="003E638A"/>
    <w:rsid w:val="003F0AB1"/>
    <w:rsid w:val="003F0EB4"/>
    <w:rsid w:val="003F3F55"/>
    <w:rsid w:val="00400EB3"/>
    <w:rsid w:val="0040145C"/>
    <w:rsid w:val="00406C9D"/>
    <w:rsid w:val="00411662"/>
    <w:rsid w:val="004127E3"/>
    <w:rsid w:val="00417170"/>
    <w:rsid w:val="00423662"/>
    <w:rsid w:val="00432F93"/>
    <w:rsid w:val="00435D1F"/>
    <w:rsid w:val="00445FBA"/>
    <w:rsid w:val="00447C03"/>
    <w:rsid w:val="0045151B"/>
    <w:rsid w:val="004519A4"/>
    <w:rsid w:val="00451A7E"/>
    <w:rsid w:val="00451A90"/>
    <w:rsid w:val="0045241D"/>
    <w:rsid w:val="00453123"/>
    <w:rsid w:val="00453CE4"/>
    <w:rsid w:val="00462239"/>
    <w:rsid w:val="00463BAC"/>
    <w:rsid w:val="00463EC9"/>
    <w:rsid w:val="00464130"/>
    <w:rsid w:val="00473BF1"/>
    <w:rsid w:val="00475626"/>
    <w:rsid w:val="0047614A"/>
    <w:rsid w:val="0047645A"/>
    <w:rsid w:val="004764D5"/>
    <w:rsid w:val="00483EAB"/>
    <w:rsid w:val="004938FB"/>
    <w:rsid w:val="004944DF"/>
    <w:rsid w:val="00496582"/>
    <w:rsid w:val="004A735F"/>
    <w:rsid w:val="004B39B5"/>
    <w:rsid w:val="004C19A9"/>
    <w:rsid w:val="004C68EB"/>
    <w:rsid w:val="004E1BC8"/>
    <w:rsid w:val="004E44A2"/>
    <w:rsid w:val="004E49B9"/>
    <w:rsid w:val="004E68A7"/>
    <w:rsid w:val="004F11E6"/>
    <w:rsid w:val="004F26B1"/>
    <w:rsid w:val="004F7F4C"/>
    <w:rsid w:val="00501AD6"/>
    <w:rsid w:val="00502DF6"/>
    <w:rsid w:val="00502F5E"/>
    <w:rsid w:val="00513A6F"/>
    <w:rsid w:val="005250A7"/>
    <w:rsid w:val="0052708D"/>
    <w:rsid w:val="00530565"/>
    <w:rsid w:val="005309F7"/>
    <w:rsid w:val="00544A17"/>
    <w:rsid w:val="00546F59"/>
    <w:rsid w:val="00550E02"/>
    <w:rsid w:val="00560889"/>
    <w:rsid w:val="00561AB0"/>
    <w:rsid w:val="0056265D"/>
    <w:rsid w:val="00571C33"/>
    <w:rsid w:val="00574848"/>
    <w:rsid w:val="00574DAA"/>
    <w:rsid w:val="005904B6"/>
    <w:rsid w:val="00592C70"/>
    <w:rsid w:val="005A0E17"/>
    <w:rsid w:val="005A0E99"/>
    <w:rsid w:val="005A4509"/>
    <w:rsid w:val="005B1554"/>
    <w:rsid w:val="005B3C51"/>
    <w:rsid w:val="005B4299"/>
    <w:rsid w:val="005B6F09"/>
    <w:rsid w:val="005C4493"/>
    <w:rsid w:val="005C45B8"/>
    <w:rsid w:val="005D54CE"/>
    <w:rsid w:val="005E1608"/>
    <w:rsid w:val="005E4766"/>
    <w:rsid w:val="005E4890"/>
    <w:rsid w:val="005E4A1E"/>
    <w:rsid w:val="005E76D8"/>
    <w:rsid w:val="005F00AB"/>
    <w:rsid w:val="005F2519"/>
    <w:rsid w:val="005F2D4E"/>
    <w:rsid w:val="005F42B7"/>
    <w:rsid w:val="005F5C1E"/>
    <w:rsid w:val="0060031F"/>
    <w:rsid w:val="00605274"/>
    <w:rsid w:val="00605DDA"/>
    <w:rsid w:val="00610683"/>
    <w:rsid w:val="00614C8B"/>
    <w:rsid w:val="00617087"/>
    <w:rsid w:val="00624CBC"/>
    <w:rsid w:val="00626E7E"/>
    <w:rsid w:val="006272CE"/>
    <w:rsid w:val="00627E59"/>
    <w:rsid w:val="006435DF"/>
    <w:rsid w:val="00680165"/>
    <w:rsid w:val="0068061F"/>
    <w:rsid w:val="0069380F"/>
    <w:rsid w:val="006A0B08"/>
    <w:rsid w:val="006A44C5"/>
    <w:rsid w:val="006A48C0"/>
    <w:rsid w:val="006A7AA3"/>
    <w:rsid w:val="006B3EF1"/>
    <w:rsid w:val="006B40FA"/>
    <w:rsid w:val="006B508D"/>
    <w:rsid w:val="006C7B19"/>
    <w:rsid w:val="006D0EE0"/>
    <w:rsid w:val="006D3DAC"/>
    <w:rsid w:val="006D46C9"/>
    <w:rsid w:val="006D6DA8"/>
    <w:rsid w:val="006E1DE0"/>
    <w:rsid w:val="006E21BC"/>
    <w:rsid w:val="006E5496"/>
    <w:rsid w:val="006E5E1A"/>
    <w:rsid w:val="006E6532"/>
    <w:rsid w:val="006E7C7D"/>
    <w:rsid w:val="006F47DB"/>
    <w:rsid w:val="006F769E"/>
    <w:rsid w:val="006F7AA6"/>
    <w:rsid w:val="0070727F"/>
    <w:rsid w:val="007251A0"/>
    <w:rsid w:val="00726017"/>
    <w:rsid w:val="00727B2C"/>
    <w:rsid w:val="007410AD"/>
    <w:rsid w:val="007524FE"/>
    <w:rsid w:val="00752C23"/>
    <w:rsid w:val="00753FFA"/>
    <w:rsid w:val="007544F1"/>
    <w:rsid w:val="00756020"/>
    <w:rsid w:val="00757387"/>
    <w:rsid w:val="00760825"/>
    <w:rsid w:val="00766DEA"/>
    <w:rsid w:val="00776367"/>
    <w:rsid w:val="007809D3"/>
    <w:rsid w:val="007818FD"/>
    <w:rsid w:val="007937ED"/>
    <w:rsid w:val="007941D1"/>
    <w:rsid w:val="00795E79"/>
    <w:rsid w:val="007976DB"/>
    <w:rsid w:val="007A1098"/>
    <w:rsid w:val="007A1691"/>
    <w:rsid w:val="007B13A9"/>
    <w:rsid w:val="007B1B87"/>
    <w:rsid w:val="007C1937"/>
    <w:rsid w:val="007C4239"/>
    <w:rsid w:val="007D0E59"/>
    <w:rsid w:val="007D7F14"/>
    <w:rsid w:val="007E2422"/>
    <w:rsid w:val="007E3B68"/>
    <w:rsid w:val="007E42E3"/>
    <w:rsid w:val="007E6D3A"/>
    <w:rsid w:val="007F02D7"/>
    <w:rsid w:val="007F0ED5"/>
    <w:rsid w:val="007F3506"/>
    <w:rsid w:val="007F42A3"/>
    <w:rsid w:val="007F6745"/>
    <w:rsid w:val="007F7D78"/>
    <w:rsid w:val="0080033D"/>
    <w:rsid w:val="00802755"/>
    <w:rsid w:val="00805D60"/>
    <w:rsid w:val="00811DB3"/>
    <w:rsid w:val="008136D2"/>
    <w:rsid w:val="0081382E"/>
    <w:rsid w:val="00814839"/>
    <w:rsid w:val="00815DDC"/>
    <w:rsid w:val="00815EA5"/>
    <w:rsid w:val="00820AE8"/>
    <w:rsid w:val="008273F2"/>
    <w:rsid w:val="00832BAF"/>
    <w:rsid w:val="00834087"/>
    <w:rsid w:val="00847F36"/>
    <w:rsid w:val="008522B1"/>
    <w:rsid w:val="008529FB"/>
    <w:rsid w:val="00857383"/>
    <w:rsid w:val="00864636"/>
    <w:rsid w:val="0087164B"/>
    <w:rsid w:val="00872F3A"/>
    <w:rsid w:val="00875464"/>
    <w:rsid w:val="0088499E"/>
    <w:rsid w:val="0088597B"/>
    <w:rsid w:val="008920D8"/>
    <w:rsid w:val="008A09A9"/>
    <w:rsid w:val="008A1B22"/>
    <w:rsid w:val="008A1B58"/>
    <w:rsid w:val="008A2A21"/>
    <w:rsid w:val="008A5714"/>
    <w:rsid w:val="008A617C"/>
    <w:rsid w:val="008B14C0"/>
    <w:rsid w:val="008B5A0A"/>
    <w:rsid w:val="008C1B51"/>
    <w:rsid w:val="008C3677"/>
    <w:rsid w:val="008C4805"/>
    <w:rsid w:val="008C7C0A"/>
    <w:rsid w:val="008D4FA9"/>
    <w:rsid w:val="008E0CAD"/>
    <w:rsid w:val="008E49B1"/>
    <w:rsid w:val="008E6417"/>
    <w:rsid w:val="00901EAD"/>
    <w:rsid w:val="00904A1F"/>
    <w:rsid w:val="00912189"/>
    <w:rsid w:val="00913F7F"/>
    <w:rsid w:val="00920D33"/>
    <w:rsid w:val="00925A91"/>
    <w:rsid w:val="00925F64"/>
    <w:rsid w:val="009305BA"/>
    <w:rsid w:val="00930BE8"/>
    <w:rsid w:val="0093183E"/>
    <w:rsid w:val="0093452B"/>
    <w:rsid w:val="00937DCD"/>
    <w:rsid w:val="0094366C"/>
    <w:rsid w:val="00943B99"/>
    <w:rsid w:val="00947382"/>
    <w:rsid w:val="009504FB"/>
    <w:rsid w:val="00950E9F"/>
    <w:rsid w:val="00970C2A"/>
    <w:rsid w:val="0097255C"/>
    <w:rsid w:val="0097416B"/>
    <w:rsid w:val="0097755F"/>
    <w:rsid w:val="00980699"/>
    <w:rsid w:val="00983EC8"/>
    <w:rsid w:val="00991DD9"/>
    <w:rsid w:val="0099283D"/>
    <w:rsid w:val="0099775C"/>
    <w:rsid w:val="009A7D5B"/>
    <w:rsid w:val="009B4A67"/>
    <w:rsid w:val="009B7E13"/>
    <w:rsid w:val="009C1703"/>
    <w:rsid w:val="009C3FAD"/>
    <w:rsid w:val="009C4B29"/>
    <w:rsid w:val="009D3B53"/>
    <w:rsid w:val="009E15B3"/>
    <w:rsid w:val="009E1D9B"/>
    <w:rsid w:val="009E3938"/>
    <w:rsid w:val="009F2858"/>
    <w:rsid w:val="00A0088F"/>
    <w:rsid w:val="00A00C7C"/>
    <w:rsid w:val="00A00CC6"/>
    <w:rsid w:val="00A13E1C"/>
    <w:rsid w:val="00A1451A"/>
    <w:rsid w:val="00A16DDA"/>
    <w:rsid w:val="00A17528"/>
    <w:rsid w:val="00A23F3E"/>
    <w:rsid w:val="00A27912"/>
    <w:rsid w:val="00A3453F"/>
    <w:rsid w:val="00A35BE3"/>
    <w:rsid w:val="00A436CA"/>
    <w:rsid w:val="00A46C5A"/>
    <w:rsid w:val="00A47BCA"/>
    <w:rsid w:val="00A5424C"/>
    <w:rsid w:val="00A57276"/>
    <w:rsid w:val="00A57C72"/>
    <w:rsid w:val="00A658A2"/>
    <w:rsid w:val="00A73780"/>
    <w:rsid w:val="00A76890"/>
    <w:rsid w:val="00A82528"/>
    <w:rsid w:val="00A84D16"/>
    <w:rsid w:val="00A91112"/>
    <w:rsid w:val="00A915E8"/>
    <w:rsid w:val="00A94677"/>
    <w:rsid w:val="00AA3712"/>
    <w:rsid w:val="00AA7A99"/>
    <w:rsid w:val="00AB01A4"/>
    <w:rsid w:val="00AB1470"/>
    <w:rsid w:val="00AB1ABE"/>
    <w:rsid w:val="00AB43ED"/>
    <w:rsid w:val="00AC0863"/>
    <w:rsid w:val="00AC124C"/>
    <w:rsid w:val="00AC2C18"/>
    <w:rsid w:val="00AC2EA9"/>
    <w:rsid w:val="00AC4F15"/>
    <w:rsid w:val="00AC735E"/>
    <w:rsid w:val="00AD35B0"/>
    <w:rsid w:val="00AD5302"/>
    <w:rsid w:val="00AD6C7A"/>
    <w:rsid w:val="00AE12FB"/>
    <w:rsid w:val="00AE1B00"/>
    <w:rsid w:val="00AE5F4D"/>
    <w:rsid w:val="00AE71A8"/>
    <w:rsid w:val="00AF153A"/>
    <w:rsid w:val="00AF450B"/>
    <w:rsid w:val="00B00FA2"/>
    <w:rsid w:val="00B01C88"/>
    <w:rsid w:val="00B12799"/>
    <w:rsid w:val="00B246A2"/>
    <w:rsid w:val="00B2777B"/>
    <w:rsid w:val="00B360B7"/>
    <w:rsid w:val="00B44214"/>
    <w:rsid w:val="00B4712A"/>
    <w:rsid w:val="00B52662"/>
    <w:rsid w:val="00B52CF4"/>
    <w:rsid w:val="00B57D3A"/>
    <w:rsid w:val="00B62B7F"/>
    <w:rsid w:val="00B62BA1"/>
    <w:rsid w:val="00B62D4D"/>
    <w:rsid w:val="00B63337"/>
    <w:rsid w:val="00B65073"/>
    <w:rsid w:val="00B74788"/>
    <w:rsid w:val="00B7716B"/>
    <w:rsid w:val="00B77378"/>
    <w:rsid w:val="00B824C5"/>
    <w:rsid w:val="00B8280C"/>
    <w:rsid w:val="00B863B0"/>
    <w:rsid w:val="00B86D82"/>
    <w:rsid w:val="00B96193"/>
    <w:rsid w:val="00BA2FEA"/>
    <w:rsid w:val="00BA723D"/>
    <w:rsid w:val="00BB2D45"/>
    <w:rsid w:val="00BB32A2"/>
    <w:rsid w:val="00BB3470"/>
    <w:rsid w:val="00BB5C29"/>
    <w:rsid w:val="00BB7170"/>
    <w:rsid w:val="00BC1BD8"/>
    <w:rsid w:val="00BC2559"/>
    <w:rsid w:val="00BC3C64"/>
    <w:rsid w:val="00BC6477"/>
    <w:rsid w:val="00BC7979"/>
    <w:rsid w:val="00BD79E9"/>
    <w:rsid w:val="00BE5B55"/>
    <w:rsid w:val="00BE6977"/>
    <w:rsid w:val="00BE6B0B"/>
    <w:rsid w:val="00BF68D7"/>
    <w:rsid w:val="00C01371"/>
    <w:rsid w:val="00C013E5"/>
    <w:rsid w:val="00C03361"/>
    <w:rsid w:val="00C11BAB"/>
    <w:rsid w:val="00C1421D"/>
    <w:rsid w:val="00C22511"/>
    <w:rsid w:val="00C24817"/>
    <w:rsid w:val="00C356BA"/>
    <w:rsid w:val="00C40442"/>
    <w:rsid w:val="00C40C39"/>
    <w:rsid w:val="00C41C6F"/>
    <w:rsid w:val="00C424FD"/>
    <w:rsid w:val="00C42548"/>
    <w:rsid w:val="00C44099"/>
    <w:rsid w:val="00C44953"/>
    <w:rsid w:val="00C44DE3"/>
    <w:rsid w:val="00C461C8"/>
    <w:rsid w:val="00C50E4D"/>
    <w:rsid w:val="00C56E72"/>
    <w:rsid w:val="00C575C8"/>
    <w:rsid w:val="00C62325"/>
    <w:rsid w:val="00C64F3F"/>
    <w:rsid w:val="00C816F8"/>
    <w:rsid w:val="00C818B8"/>
    <w:rsid w:val="00C8324A"/>
    <w:rsid w:val="00C856BC"/>
    <w:rsid w:val="00C86842"/>
    <w:rsid w:val="00C878A5"/>
    <w:rsid w:val="00C9622B"/>
    <w:rsid w:val="00C97EC4"/>
    <w:rsid w:val="00CB30F9"/>
    <w:rsid w:val="00CB5D19"/>
    <w:rsid w:val="00CC37B4"/>
    <w:rsid w:val="00CC59EB"/>
    <w:rsid w:val="00CC7DAF"/>
    <w:rsid w:val="00CD3C05"/>
    <w:rsid w:val="00CE100B"/>
    <w:rsid w:val="00CE1E6D"/>
    <w:rsid w:val="00CF1857"/>
    <w:rsid w:val="00CF3E31"/>
    <w:rsid w:val="00CF6395"/>
    <w:rsid w:val="00D11EED"/>
    <w:rsid w:val="00D165F5"/>
    <w:rsid w:val="00D17913"/>
    <w:rsid w:val="00D17DCF"/>
    <w:rsid w:val="00D27214"/>
    <w:rsid w:val="00D32E61"/>
    <w:rsid w:val="00D34BF2"/>
    <w:rsid w:val="00D35A8B"/>
    <w:rsid w:val="00D36CEE"/>
    <w:rsid w:val="00D42E6C"/>
    <w:rsid w:val="00D511BF"/>
    <w:rsid w:val="00D55C24"/>
    <w:rsid w:val="00D6208F"/>
    <w:rsid w:val="00D65BC4"/>
    <w:rsid w:val="00D757B6"/>
    <w:rsid w:val="00D7652F"/>
    <w:rsid w:val="00D77B16"/>
    <w:rsid w:val="00D81094"/>
    <w:rsid w:val="00D86A99"/>
    <w:rsid w:val="00D9043C"/>
    <w:rsid w:val="00D9056E"/>
    <w:rsid w:val="00D94FA1"/>
    <w:rsid w:val="00DA050C"/>
    <w:rsid w:val="00DA2A9D"/>
    <w:rsid w:val="00DA5279"/>
    <w:rsid w:val="00DB05B3"/>
    <w:rsid w:val="00DC124D"/>
    <w:rsid w:val="00DC1B58"/>
    <w:rsid w:val="00DC545E"/>
    <w:rsid w:val="00DD7AB7"/>
    <w:rsid w:val="00DE2B2C"/>
    <w:rsid w:val="00DE5882"/>
    <w:rsid w:val="00DF3996"/>
    <w:rsid w:val="00E0055D"/>
    <w:rsid w:val="00E00F0F"/>
    <w:rsid w:val="00E01604"/>
    <w:rsid w:val="00E02E9C"/>
    <w:rsid w:val="00E07A04"/>
    <w:rsid w:val="00E10735"/>
    <w:rsid w:val="00E1129B"/>
    <w:rsid w:val="00E16EA7"/>
    <w:rsid w:val="00E214BA"/>
    <w:rsid w:val="00E22B98"/>
    <w:rsid w:val="00E41051"/>
    <w:rsid w:val="00E44E8B"/>
    <w:rsid w:val="00E62C7B"/>
    <w:rsid w:val="00E66176"/>
    <w:rsid w:val="00E70974"/>
    <w:rsid w:val="00E71644"/>
    <w:rsid w:val="00E875F2"/>
    <w:rsid w:val="00E926DB"/>
    <w:rsid w:val="00E93F4C"/>
    <w:rsid w:val="00EA58BF"/>
    <w:rsid w:val="00EA5B01"/>
    <w:rsid w:val="00EB226D"/>
    <w:rsid w:val="00EB262F"/>
    <w:rsid w:val="00ED71B2"/>
    <w:rsid w:val="00ED73A7"/>
    <w:rsid w:val="00ED7B9A"/>
    <w:rsid w:val="00EE6B91"/>
    <w:rsid w:val="00EF46B8"/>
    <w:rsid w:val="00EF76C7"/>
    <w:rsid w:val="00F01286"/>
    <w:rsid w:val="00F03C68"/>
    <w:rsid w:val="00F04D44"/>
    <w:rsid w:val="00F108F1"/>
    <w:rsid w:val="00F12DEF"/>
    <w:rsid w:val="00F17815"/>
    <w:rsid w:val="00F21DB6"/>
    <w:rsid w:val="00F22B0F"/>
    <w:rsid w:val="00F24C46"/>
    <w:rsid w:val="00F4470F"/>
    <w:rsid w:val="00F45B3D"/>
    <w:rsid w:val="00F53715"/>
    <w:rsid w:val="00F554D9"/>
    <w:rsid w:val="00F61553"/>
    <w:rsid w:val="00F676A1"/>
    <w:rsid w:val="00F67A6C"/>
    <w:rsid w:val="00F72715"/>
    <w:rsid w:val="00F77433"/>
    <w:rsid w:val="00F8159F"/>
    <w:rsid w:val="00F82FC9"/>
    <w:rsid w:val="00F90CAB"/>
    <w:rsid w:val="00F96935"/>
    <w:rsid w:val="00FA01BB"/>
    <w:rsid w:val="00FA5135"/>
    <w:rsid w:val="00FA7D18"/>
    <w:rsid w:val="00FB07F2"/>
    <w:rsid w:val="00FB6D2F"/>
    <w:rsid w:val="00FB714F"/>
    <w:rsid w:val="00FC0B78"/>
    <w:rsid w:val="00FC13F6"/>
    <w:rsid w:val="00FD623C"/>
    <w:rsid w:val="00FD66C8"/>
    <w:rsid w:val="00FD7000"/>
    <w:rsid w:val="00FD7423"/>
    <w:rsid w:val="00FE715F"/>
    <w:rsid w:val="00FE7734"/>
    <w:rsid w:val="00FF78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BA07013"/>
  <w15:docId w15:val="{09D6C323-726E-41FA-91B6-528FA621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ambria" w:eastAsia="SimSun" w:hAnsi="Cambria" w:cs="font337"/>
      <w:kern w:val="1"/>
      <w:sz w:val="24"/>
      <w:szCs w:val="24"/>
      <w:lang w:eastAsia="ar-SA"/>
    </w:rPr>
  </w:style>
  <w:style w:type="paragraph" w:styleId="Heading1">
    <w:name w:val="heading 1"/>
    <w:basedOn w:val="Normal"/>
    <w:next w:val="BodyText"/>
    <w:qFormat/>
    <w:pPr>
      <w:keepNext/>
      <w:keepLines/>
      <w:numPr>
        <w:numId w:val="1"/>
      </w:numPr>
      <w:spacing w:before="480"/>
      <w:outlineLvl w:val="0"/>
    </w:pPr>
    <w:rPr>
      <w:rFonts w:ascii="Calibri" w:hAnsi="Calibri"/>
      <w:b/>
      <w:bCs/>
      <w:color w:val="345A8A"/>
      <w:sz w:val="32"/>
      <w:szCs w:val="32"/>
    </w:rPr>
  </w:style>
  <w:style w:type="paragraph" w:styleId="Heading2">
    <w:name w:val="heading 2"/>
    <w:basedOn w:val="Normal"/>
    <w:next w:val="BodyText"/>
    <w:qFormat/>
    <w:rsid w:val="00C44DE3"/>
    <w:pPr>
      <w:keepNext/>
      <w:keepLines/>
      <w:numPr>
        <w:ilvl w:val="1"/>
        <w:numId w:val="1"/>
      </w:numPr>
      <w:spacing w:before="200" w:line="276" w:lineRule="auto"/>
      <w:outlineLvl w:val="1"/>
    </w:pPr>
    <w:rPr>
      <w:rFonts w:ascii="Calibri" w:hAnsi="Calibri"/>
      <w:b/>
      <w:bCs/>
      <w:color w:val="4F81BD"/>
      <w:sz w:val="26"/>
      <w:szCs w:val="26"/>
    </w:rPr>
  </w:style>
  <w:style w:type="paragraph" w:styleId="Heading3">
    <w:name w:val="heading 3"/>
    <w:basedOn w:val="Normal"/>
    <w:next w:val="BodyText"/>
    <w:qFormat/>
    <w:pPr>
      <w:keepNext/>
      <w:keepLines/>
      <w:numPr>
        <w:ilvl w:val="2"/>
        <w:numId w:val="1"/>
      </w:numPr>
      <w:spacing w:before="200"/>
      <w:outlineLvl w:val="2"/>
    </w:pPr>
    <w:rPr>
      <w:rFonts w:ascii="Calibri" w:hAnsi="Calibri"/>
      <w:b/>
      <w:bCs/>
      <w:color w:val="4F81BD"/>
    </w:rPr>
  </w:style>
  <w:style w:type="paragraph" w:styleId="Heading4">
    <w:name w:val="heading 4"/>
    <w:basedOn w:val="Normal"/>
    <w:next w:val="BodyText"/>
    <w:qFormat/>
    <w:pPr>
      <w:keepNext/>
      <w:keepLines/>
      <w:numPr>
        <w:ilvl w:val="3"/>
        <w:numId w:val="1"/>
      </w:numPr>
      <w:spacing w:before="200"/>
      <w:outlineLvl w:val="3"/>
    </w:pPr>
    <w:rPr>
      <w:rFonts w:ascii="Calibri" w:hAnsi="Calibri"/>
      <w:b/>
      <w:bCs/>
      <w:i/>
      <w:iCs/>
      <w:color w:val="4F81BD"/>
    </w:rPr>
  </w:style>
  <w:style w:type="paragraph" w:styleId="Heading5">
    <w:name w:val="heading 5"/>
    <w:basedOn w:val="Normal"/>
    <w:next w:val="BodyText"/>
    <w:qFormat/>
    <w:pPr>
      <w:keepNext/>
      <w:keepLines/>
      <w:numPr>
        <w:ilvl w:val="4"/>
        <w:numId w:val="1"/>
      </w:numPr>
      <w:spacing w:before="200"/>
      <w:outlineLvl w:val="4"/>
    </w:pPr>
    <w:rPr>
      <w:rFonts w:ascii="Calibri" w:hAnsi="Calibri"/>
      <w:color w:val="243F60"/>
    </w:rPr>
  </w:style>
  <w:style w:type="paragraph" w:styleId="Heading6">
    <w:name w:val="heading 6"/>
    <w:basedOn w:val="Normal"/>
    <w:next w:val="BodyText"/>
    <w:qFormat/>
    <w:pPr>
      <w:keepNext/>
      <w:keepLines/>
      <w:numPr>
        <w:ilvl w:val="5"/>
        <w:numId w:val="1"/>
      </w:numPr>
      <w:spacing w:before="200"/>
      <w:outlineLvl w:val="5"/>
    </w:pPr>
    <w:rPr>
      <w:rFonts w:ascii="Calibri" w:hAnsi="Calibri"/>
      <w:i/>
      <w:iCs/>
      <w:color w:val="243F60"/>
    </w:rPr>
  </w:style>
  <w:style w:type="paragraph" w:styleId="Heading7">
    <w:name w:val="heading 7"/>
    <w:basedOn w:val="Normal"/>
    <w:next w:val="BodyText"/>
    <w:qFormat/>
    <w:pPr>
      <w:keepNext/>
      <w:keepLines/>
      <w:numPr>
        <w:ilvl w:val="6"/>
        <w:numId w:val="1"/>
      </w:numPr>
      <w:spacing w:before="200"/>
      <w:outlineLvl w:val="6"/>
    </w:pPr>
    <w:rPr>
      <w:rFonts w:ascii="Calibri" w:hAnsi="Calibri"/>
      <w:i/>
      <w:iCs/>
      <w:color w:val="404040"/>
    </w:rPr>
  </w:style>
  <w:style w:type="paragraph" w:styleId="Heading8">
    <w:name w:val="heading 8"/>
    <w:basedOn w:val="Normal"/>
    <w:next w:val="BodyText"/>
    <w:qFormat/>
    <w:pPr>
      <w:keepNext/>
      <w:keepLines/>
      <w:numPr>
        <w:ilvl w:val="7"/>
        <w:numId w:val="1"/>
      </w:numPr>
      <w:spacing w:before="200"/>
      <w:outlineLvl w:val="7"/>
    </w:pPr>
    <w:rPr>
      <w:rFonts w:ascii="Calibri" w:hAnsi="Calibri"/>
      <w:color w:val="404040"/>
      <w:sz w:val="20"/>
      <w:szCs w:val="20"/>
    </w:rPr>
  </w:style>
  <w:style w:type="paragraph" w:styleId="Heading9">
    <w:name w:val="heading 9"/>
    <w:basedOn w:val="Normal"/>
    <w:next w:val="BodyText"/>
    <w:qFormat/>
    <w:pPr>
      <w:keepNext/>
      <w:keepLines/>
      <w:numPr>
        <w:ilvl w:val="8"/>
        <w:numId w:val="1"/>
      </w:numPr>
      <w:spacing w:before="200"/>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Heading1Char">
    <w:name w:val="Heading 1 Char"/>
    <w:rPr>
      <w:rFonts w:ascii="Calibri" w:hAnsi="Calibri" w:cs="font337"/>
      <w:b/>
      <w:bCs/>
      <w:color w:val="345A8A"/>
      <w:sz w:val="32"/>
      <w:szCs w:val="32"/>
    </w:rPr>
  </w:style>
  <w:style w:type="character" w:customStyle="1" w:styleId="Heading2Char">
    <w:name w:val="Heading 2 Char"/>
    <w:rPr>
      <w:rFonts w:ascii="Calibri" w:hAnsi="Calibri" w:cs="font337"/>
      <w:b/>
      <w:bCs/>
      <w:color w:val="4F81BD"/>
      <w:sz w:val="26"/>
      <w:szCs w:val="26"/>
    </w:rPr>
  </w:style>
  <w:style w:type="character" w:customStyle="1" w:styleId="Heading3Char">
    <w:name w:val="Heading 3 Char"/>
    <w:rPr>
      <w:rFonts w:ascii="Calibri" w:hAnsi="Calibri" w:cs="font337"/>
      <w:b/>
      <w:bCs/>
      <w:color w:val="4F81BD"/>
    </w:rPr>
  </w:style>
  <w:style w:type="character" w:customStyle="1" w:styleId="Heading4Char">
    <w:name w:val="Heading 4 Char"/>
    <w:rPr>
      <w:rFonts w:ascii="Calibri" w:hAnsi="Calibri" w:cs="font337"/>
      <w:b/>
      <w:bCs/>
      <w:i/>
      <w:iCs/>
      <w:color w:val="4F81BD"/>
    </w:rPr>
  </w:style>
  <w:style w:type="character" w:customStyle="1" w:styleId="Heading5Char">
    <w:name w:val="Heading 5 Char"/>
    <w:rPr>
      <w:rFonts w:ascii="Calibri" w:hAnsi="Calibri" w:cs="font337"/>
      <w:color w:val="243F60"/>
    </w:rPr>
  </w:style>
  <w:style w:type="character" w:customStyle="1" w:styleId="Heading6Char">
    <w:name w:val="Heading 6 Char"/>
    <w:rPr>
      <w:rFonts w:ascii="Calibri" w:hAnsi="Calibri" w:cs="font337"/>
      <w:i/>
      <w:iCs/>
      <w:color w:val="243F60"/>
    </w:rPr>
  </w:style>
  <w:style w:type="character" w:customStyle="1" w:styleId="Heading7Char">
    <w:name w:val="Heading 7 Char"/>
    <w:rPr>
      <w:rFonts w:ascii="Calibri" w:hAnsi="Calibri" w:cs="font337"/>
      <w:i/>
      <w:iCs/>
      <w:color w:val="404040"/>
    </w:rPr>
  </w:style>
  <w:style w:type="character" w:customStyle="1" w:styleId="Heading8Char">
    <w:name w:val="Heading 8 Char"/>
    <w:rPr>
      <w:rFonts w:ascii="Calibri" w:hAnsi="Calibri" w:cs="font337"/>
      <w:color w:val="404040"/>
      <w:sz w:val="20"/>
      <w:szCs w:val="20"/>
    </w:rPr>
  </w:style>
  <w:style w:type="character" w:customStyle="1" w:styleId="Heading9Char">
    <w:name w:val="Heading 9 Char"/>
    <w:rPr>
      <w:rFonts w:ascii="Calibri" w:hAnsi="Calibri" w:cs="font337"/>
      <w:i/>
      <w:iCs/>
      <w:color w:val="404040"/>
      <w:sz w:val="20"/>
      <w:szCs w:val="20"/>
    </w:rPr>
  </w:style>
  <w:style w:type="character" w:customStyle="1" w:styleId="BalloonTextChar">
    <w:name w:val="Balloon Text Char"/>
    <w:rPr>
      <w:rFonts w:ascii="Lucida Grande" w:hAnsi="Lucida Grande" w:cs="Lucida Grande"/>
      <w:sz w:val="18"/>
      <w:szCs w:val="18"/>
    </w:rPr>
  </w:style>
  <w:style w:type="character" w:customStyle="1" w:styleId="MediumGrid11">
    <w:name w:val="Medium Grid 11"/>
    <w:rPr>
      <w:color w:val="808080"/>
    </w:rPr>
  </w:style>
  <w:style w:type="character" w:customStyle="1" w:styleId="CommentReference1">
    <w:name w:val="Comment Reference1"/>
    <w:rPr>
      <w:sz w:val="18"/>
      <w:szCs w:val="18"/>
    </w:rPr>
  </w:style>
  <w:style w:type="character" w:customStyle="1" w:styleId="CommentTextChar">
    <w:name w:val="Comment Text Char"/>
    <w:basedOn w:val="DefaultParagraphFont"/>
  </w:style>
  <w:style w:type="character" w:customStyle="1" w:styleId="CommentSubjectChar">
    <w:name w:val="Comment Subject Char"/>
    <w:rPr>
      <w:b/>
      <w:bCs/>
      <w:sz w:val="20"/>
      <w:szCs w:val="20"/>
    </w:rPr>
  </w:style>
  <w:style w:type="character" w:customStyle="1" w:styleId="HeaderChar">
    <w:name w:val="Header Char"/>
    <w:basedOn w:val="DefaultParagraphFont"/>
  </w:style>
  <w:style w:type="character" w:customStyle="1" w:styleId="PageNumber1">
    <w:name w:val="Page Number1"/>
    <w:basedOn w:val="DefaultParagraphFont"/>
  </w:style>
  <w:style w:type="character" w:customStyle="1" w:styleId="FooterChar">
    <w:name w:val="Footer Char"/>
    <w:basedOn w:val="DefaultParagraphFont"/>
  </w:style>
  <w:style w:type="character" w:styleId="Hyperlink">
    <w:name w:val="Hyperlink"/>
    <w:uiPriority w:val="99"/>
    <w:rPr>
      <w:color w:val="000080"/>
      <w:u w:val="single"/>
    </w:rPr>
  </w:style>
  <w:style w:type="character" w:customStyle="1" w:styleId="IndexLink">
    <w:name w:val="Index Link"/>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ontentsHeading">
    <w:name w:val="Contents Heading"/>
    <w:basedOn w:val="Heading1"/>
    <w:pPr>
      <w:numPr>
        <w:numId w:val="0"/>
      </w:numPr>
      <w:suppressLineNumbers/>
      <w:spacing w:line="276" w:lineRule="auto"/>
    </w:pPr>
    <w:rPr>
      <w:color w:val="365F91"/>
      <w:sz w:val="28"/>
      <w:szCs w:val="28"/>
    </w:rPr>
  </w:style>
  <w:style w:type="paragraph" w:styleId="TOC1">
    <w:name w:val="toc 1"/>
    <w:basedOn w:val="Normal"/>
    <w:uiPriority w:val="39"/>
    <w:pPr>
      <w:tabs>
        <w:tab w:val="left" w:pos="370"/>
        <w:tab w:val="right" w:pos="8630"/>
      </w:tabs>
      <w:spacing w:before="240" w:after="120"/>
    </w:pPr>
    <w:rPr>
      <w:b/>
      <w:caps/>
      <w:sz w:val="22"/>
      <w:szCs w:val="22"/>
      <w:u w:val="single"/>
    </w:rPr>
  </w:style>
  <w:style w:type="paragraph" w:styleId="TOC2">
    <w:name w:val="toc 2"/>
    <w:basedOn w:val="Normal"/>
    <w:uiPriority w:val="39"/>
    <w:pPr>
      <w:tabs>
        <w:tab w:val="right" w:leader="dot" w:pos="9689"/>
      </w:tabs>
      <w:ind w:left="283"/>
    </w:pPr>
    <w:rPr>
      <w:b/>
      <w:smallCaps/>
      <w:sz w:val="22"/>
      <w:szCs w:val="22"/>
    </w:rPr>
  </w:style>
  <w:style w:type="paragraph" w:styleId="TOC3">
    <w:name w:val="toc 3"/>
    <w:basedOn w:val="Normal"/>
    <w:uiPriority w:val="39"/>
    <w:pPr>
      <w:tabs>
        <w:tab w:val="right" w:leader="dot" w:pos="9406"/>
      </w:tabs>
      <w:ind w:left="566"/>
    </w:pPr>
    <w:rPr>
      <w:smallCaps/>
      <w:sz w:val="22"/>
      <w:szCs w:val="22"/>
    </w:rPr>
  </w:style>
  <w:style w:type="paragraph" w:styleId="BalloonText">
    <w:name w:val="Balloon Text"/>
    <w:basedOn w:val="Normal"/>
    <w:rPr>
      <w:rFonts w:ascii="Lucida Grande" w:hAnsi="Lucida Grande" w:cs="Lucida Grande"/>
      <w:sz w:val="18"/>
      <w:szCs w:val="18"/>
    </w:rPr>
  </w:style>
  <w:style w:type="paragraph" w:styleId="TOC4">
    <w:name w:val="toc 4"/>
    <w:basedOn w:val="Normal"/>
    <w:uiPriority w:val="39"/>
    <w:pPr>
      <w:tabs>
        <w:tab w:val="right" w:leader="dot" w:pos="9123"/>
      </w:tabs>
      <w:ind w:left="849"/>
    </w:pPr>
    <w:rPr>
      <w:sz w:val="22"/>
      <w:szCs w:val="22"/>
    </w:rPr>
  </w:style>
  <w:style w:type="paragraph" w:styleId="TOC5">
    <w:name w:val="toc 5"/>
    <w:basedOn w:val="Normal"/>
    <w:pPr>
      <w:tabs>
        <w:tab w:val="right" w:leader="dot" w:pos="8840"/>
      </w:tabs>
      <w:ind w:left="1132"/>
    </w:pPr>
    <w:rPr>
      <w:sz w:val="22"/>
      <w:szCs w:val="22"/>
    </w:rPr>
  </w:style>
  <w:style w:type="paragraph" w:styleId="TOC6">
    <w:name w:val="toc 6"/>
    <w:basedOn w:val="Normal"/>
    <w:pPr>
      <w:tabs>
        <w:tab w:val="right" w:leader="dot" w:pos="8557"/>
      </w:tabs>
      <w:ind w:left="1415"/>
    </w:pPr>
    <w:rPr>
      <w:sz w:val="22"/>
      <w:szCs w:val="22"/>
    </w:rPr>
  </w:style>
  <w:style w:type="paragraph" w:styleId="TOC7">
    <w:name w:val="toc 7"/>
    <w:basedOn w:val="Normal"/>
    <w:pPr>
      <w:tabs>
        <w:tab w:val="right" w:leader="dot" w:pos="8274"/>
      </w:tabs>
      <w:ind w:left="1698"/>
    </w:pPr>
    <w:rPr>
      <w:sz w:val="22"/>
      <w:szCs w:val="22"/>
    </w:rPr>
  </w:style>
  <w:style w:type="paragraph" w:styleId="TOC8">
    <w:name w:val="toc 8"/>
    <w:basedOn w:val="Normal"/>
    <w:pPr>
      <w:tabs>
        <w:tab w:val="right" w:leader="dot" w:pos="7991"/>
      </w:tabs>
      <w:ind w:left="1981"/>
    </w:pPr>
    <w:rPr>
      <w:sz w:val="22"/>
      <w:szCs w:val="22"/>
    </w:rPr>
  </w:style>
  <w:style w:type="paragraph" w:styleId="TOC9">
    <w:name w:val="toc 9"/>
    <w:basedOn w:val="Normal"/>
    <w:pPr>
      <w:tabs>
        <w:tab w:val="right" w:leader="dot" w:pos="7708"/>
      </w:tabs>
      <w:ind w:left="2264"/>
    </w:pPr>
    <w:rPr>
      <w:sz w:val="22"/>
      <w:szCs w:val="22"/>
    </w:rPr>
  </w:style>
  <w:style w:type="paragraph" w:customStyle="1" w:styleId="CommentText1">
    <w:name w:val="Comment Text1"/>
    <w:basedOn w:val="Normal"/>
  </w:style>
  <w:style w:type="paragraph" w:customStyle="1" w:styleId="CommentSubject1">
    <w:name w:val="Comment Subject1"/>
    <w:basedOn w:val="CommentText1"/>
    <w:rPr>
      <w:b/>
      <w:bCs/>
      <w:sz w:val="20"/>
      <w:szCs w:val="20"/>
    </w:rPr>
  </w:style>
  <w:style w:type="paragraph" w:customStyle="1" w:styleId="ColorfulList-Accent11">
    <w:name w:val="Colorful List - Accent 11"/>
    <w:basedOn w:val="Normal"/>
    <w:qFormat/>
    <w:pPr>
      <w:ind w:left="720"/>
    </w:pPr>
  </w:style>
  <w:style w:type="paragraph" w:styleId="Header">
    <w:name w:val="header"/>
    <w:basedOn w:val="Normal"/>
    <w:pPr>
      <w:suppressLineNumbers/>
      <w:tabs>
        <w:tab w:val="center" w:pos="4320"/>
        <w:tab w:val="right" w:pos="8640"/>
      </w:tabs>
    </w:pPr>
  </w:style>
  <w:style w:type="paragraph" w:styleId="Footer">
    <w:name w:val="footer"/>
    <w:basedOn w:val="Normal"/>
    <w:pPr>
      <w:suppressLineNumbers/>
      <w:tabs>
        <w:tab w:val="center" w:pos="4320"/>
        <w:tab w:val="right" w:pos="8640"/>
      </w:tabs>
    </w:pPr>
  </w:style>
  <w:style w:type="paragraph" w:customStyle="1" w:styleId="Contents10">
    <w:name w:val="Contents 10"/>
    <w:basedOn w:val="Index"/>
    <w:pPr>
      <w:tabs>
        <w:tab w:val="right" w:leader="dot" w:pos="7425"/>
      </w:tabs>
      <w:ind w:left="2547"/>
    </w:pPr>
  </w:style>
  <w:style w:type="paragraph" w:customStyle="1" w:styleId="Heading10">
    <w:name w:val="Heading 10"/>
    <w:basedOn w:val="Heading"/>
    <w:next w:val="BodyText"/>
    <w:pPr>
      <w:tabs>
        <w:tab w:val="num" w:pos="0"/>
      </w:tabs>
      <w:ind w:left="1584" w:hanging="1584"/>
      <w:outlineLvl w:val="8"/>
    </w:pPr>
    <w:rPr>
      <w:b/>
      <w:bCs/>
      <w:sz w:val="21"/>
      <w:szCs w:val="21"/>
    </w:rPr>
  </w:style>
  <w:style w:type="paragraph" w:customStyle="1" w:styleId="TOCHeading1">
    <w:name w:val="TOC Heading1"/>
    <w:basedOn w:val="Heading1"/>
    <w:next w:val="Normal"/>
    <w:uiPriority w:val="39"/>
    <w:semiHidden/>
    <w:unhideWhenUsed/>
    <w:qFormat/>
    <w:rsid w:val="003C07F5"/>
    <w:pPr>
      <w:numPr>
        <w:numId w:val="0"/>
      </w:numPr>
      <w:suppressAutoHyphens w:val="0"/>
      <w:spacing w:line="276" w:lineRule="auto"/>
      <w:outlineLvl w:val="9"/>
    </w:pPr>
    <w:rPr>
      <w:rFonts w:ascii="Cambria" w:eastAsia="MS Gothic" w:hAnsi="Cambria" w:cs="Times New Roman"/>
      <w:color w:val="365F91"/>
      <w:kern w:val="0"/>
      <w:sz w:val="28"/>
      <w:szCs w:val="28"/>
      <w:lang w:eastAsia="ja-JP"/>
    </w:rPr>
  </w:style>
  <w:style w:type="character" w:styleId="FollowedHyperlink">
    <w:name w:val="FollowedHyperlink"/>
    <w:uiPriority w:val="99"/>
    <w:semiHidden/>
    <w:unhideWhenUsed/>
    <w:rsid w:val="00B44214"/>
    <w:rPr>
      <w:color w:val="800080"/>
      <w:u w:val="single"/>
    </w:rPr>
  </w:style>
  <w:style w:type="paragraph" w:styleId="FootnoteText">
    <w:name w:val="footnote text"/>
    <w:basedOn w:val="Normal"/>
    <w:link w:val="FootnoteTextChar"/>
    <w:uiPriority w:val="99"/>
    <w:unhideWhenUsed/>
    <w:rsid w:val="00B44214"/>
    <w:rPr>
      <w:sz w:val="20"/>
      <w:szCs w:val="20"/>
    </w:rPr>
  </w:style>
  <w:style w:type="character" w:customStyle="1" w:styleId="FootnoteTextChar">
    <w:name w:val="Footnote Text Char"/>
    <w:link w:val="FootnoteText"/>
    <w:uiPriority w:val="99"/>
    <w:rsid w:val="00B44214"/>
    <w:rPr>
      <w:rFonts w:ascii="Cambria" w:eastAsia="SimSun" w:hAnsi="Cambria" w:cs="font337"/>
      <w:kern w:val="1"/>
      <w:lang w:eastAsia="ar-SA"/>
    </w:rPr>
  </w:style>
  <w:style w:type="character" w:styleId="FootnoteReference">
    <w:name w:val="footnote reference"/>
    <w:uiPriority w:val="99"/>
    <w:unhideWhenUsed/>
    <w:rsid w:val="00B44214"/>
    <w:rPr>
      <w:vertAlign w:val="superscript"/>
    </w:rPr>
  </w:style>
  <w:style w:type="table" w:styleId="TableGrid">
    <w:name w:val="Table Grid"/>
    <w:basedOn w:val="TableNormal"/>
    <w:uiPriority w:val="59"/>
    <w:rsid w:val="00D65B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ntenseQuote1">
    <w:name w:val="Intense Quote1"/>
    <w:basedOn w:val="TableNormal"/>
    <w:uiPriority w:val="60"/>
    <w:qFormat/>
    <w:rsid w:val="002B37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1">
    <w:name w:val="Medium Grid 1 Accent 1"/>
    <w:basedOn w:val="TableNormal"/>
    <w:uiPriority w:val="62"/>
    <w:rsid w:val="002B373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MingLiU" w:eastAsia="Times New Roman" w:hAnsi="PMingLiU"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3"/>
    <w:rsid w:val="00A46C5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4"/>
    <w:rsid w:val="00A46C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6"/>
    <w:rsid w:val="00A46C5A"/>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1"/>
    <w:rsid w:val="003C749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ghtShading-Accent21">
    <w:name w:val="Light Shading - Accent 21"/>
    <w:basedOn w:val="Normal"/>
    <w:next w:val="Normal"/>
    <w:link w:val="LightShading-Accent2Char"/>
    <w:uiPriority w:val="30"/>
    <w:qFormat/>
    <w:rsid w:val="00AE5F4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AE5F4D"/>
    <w:rPr>
      <w:rFonts w:ascii="Cambria" w:eastAsia="SimSun" w:hAnsi="Cambria" w:cs="font337"/>
      <w:b/>
      <w:bCs/>
      <w:i/>
      <w:iCs/>
      <w:color w:val="4F81BD"/>
      <w:kern w:val="1"/>
      <w:sz w:val="24"/>
      <w:szCs w:val="24"/>
      <w:lang w:eastAsia="ar-SA"/>
    </w:rPr>
  </w:style>
  <w:style w:type="paragraph" w:styleId="DocumentMap">
    <w:name w:val="Document Map"/>
    <w:basedOn w:val="Normal"/>
    <w:link w:val="DocumentMapChar"/>
    <w:uiPriority w:val="99"/>
    <w:semiHidden/>
    <w:unhideWhenUsed/>
    <w:rsid w:val="00C44DE3"/>
    <w:rPr>
      <w:rFonts w:ascii="Lucida Grande" w:hAnsi="Lucida Grande" w:cs="Lucida Grande"/>
    </w:rPr>
  </w:style>
  <w:style w:type="character" w:customStyle="1" w:styleId="DocumentMapChar">
    <w:name w:val="Document Map Char"/>
    <w:link w:val="DocumentMap"/>
    <w:uiPriority w:val="99"/>
    <w:semiHidden/>
    <w:rsid w:val="00C44DE3"/>
    <w:rPr>
      <w:rFonts w:ascii="Lucida Grande" w:eastAsia="SimSun" w:hAnsi="Lucida Grande" w:cs="Lucida Grande"/>
      <w:kern w:val="1"/>
      <w:sz w:val="24"/>
      <w:szCs w:val="24"/>
      <w:lang w:eastAsia="ar-SA"/>
    </w:rPr>
  </w:style>
  <w:style w:type="paragraph" w:styleId="ListParagraph">
    <w:name w:val="List Paragraph"/>
    <w:basedOn w:val="Normal"/>
    <w:uiPriority w:val="34"/>
    <w:qFormat/>
    <w:rsid w:val="00AB01A4"/>
    <w:pPr>
      <w:ind w:left="720"/>
    </w:pPr>
  </w:style>
  <w:style w:type="paragraph" w:styleId="EndnoteText">
    <w:name w:val="endnote text"/>
    <w:basedOn w:val="Normal"/>
    <w:link w:val="EndnoteTextChar"/>
    <w:uiPriority w:val="99"/>
    <w:semiHidden/>
    <w:unhideWhenUsed/>
    <w:rsid w:val="00D35A8B"/>
    <w:rPr>
      <w:sz w:val="20"/>
      <w:szCs w:val="20"/>
    </w:rPr>
  </w:style>
  <w:style w:type="character" w:customStyle="1" w:styleId="EndnoteTextChar">
    <w:name w:val="Endnote Text Char"/>
    <w:basedOn w:val="DefaultParagraphFont"/>
    <w:link w:val="EndnoteText"/>
    <w:uiPriority w:val="99"/>
    <w:semiHidden/>
    <w:rsid w:val="00D35A8B"/>
    <w:rPr>
      <w:rFonts w:ascii="Cambria" w:eastAsia="SimSun" w:hAnsi="Cambria" w:cs="font337"/>
      <w:kern w:val="1"/>
      <w:lang w:eastAsia="ar-SA"/>
    </w:rPr>
  </w:style>
  <w:style w:type="character" w:styleId="EndnoteReference">
    <w:name w:val="endnote reference"/>
    <w:basedOn w:val="DefaultParagraphFont"/>
    <w:uiPriority w:val="99"/>
    <w:semiHidden/>
    <w:unhideWhenUsed/>
    <w:rsid w:val="00D35A8B"/>
    <w:rPr>
      <w:vertAlign w:val="superscript"/>
    </w:rPr>
  </w:style>
  <w:style w:type="character" w:styleId="CommentReference">
    <w:name w:val="annotation reference"/>
    <w:basedOn w:val="DefaultParagraphFont"/>
    <w:uiPriority w:val="99"/>
    <w:semiHidden/>
    <w:unhideWhenUsed/>
    <w:rsid w:val="000A550B"/>
    <w:rPr>
      <w:sz w:val="18"/>
      <w:szCs w:val="18"/>
    </w:rPr>
  </w:style>
  <w:style w:type="paragraph" w:styleId="CommentText">
    <w:name w:val="annotation text"/>
    <w:basedOn w:val="Normal"/>
    <w:link w:val="CommentTextChar1"/>
    <w:uiPriority w:val="99"/>
    <w:semiHidden/>
    <w:unhideWhenUsed/>
    <w:rsid w:val="000A550B"/>
  </w:style>
  <w:style w:type="character" w:customStyle="1" w:styleId="CommentTextChar1">
    <w:name w:val="Comment Text Char1"/>
    <w:basedOn w:val="DefaultParagraphFont"/>
    <w:link w:val="CommentText"/>
    <w:uiPriority w:val="99"/>
    <w:semiHidden/>
    <w:rsid w:val="000A550B"/>
    <w:rPr>
      <w:rFonts w:ascii="Cambria" w:eastAsia="SimSun" w:hAnsi="Cambria" w:cs="font337"/>
      <w:kern w:val="1"/>
      <w:sz w:val="24"/>
      <w:szCs w:val="24"/>
      <w:lang w:eastAsia="ar-SA"/>
    </w:rPr>
  </w:style>
  <w:style w:type="paragraph" w:styleId="CommentSubject">
    <w:name w:val="annotation subject"/>
    <w:basedOn w:val="CommentText"/>
    <w:next w:val="CommentText"/>
    <w:link w:val="CommentSubjectChar1"/>
    <w:uiPriority w:val="99"/>
    <w:semiHidden/>
    <w:unhideWhenUsed/>
    <w:rsid w:val="000A550B"/>
    <w:rPr>
      <w:b/>
      <w:bCs/>
      <w:sz w:val="20"/>
      <w:szCs w:val="20"/>
    </w:rPr>
  </w:style>
  <w:style w:type="character" w:customStyle="1" w:styleId="CommentSubjectChar1">
    <w:name w:val="Comment Subject Char1"/>
    <w:basedOn w:val="CommentTextChar1"/>
    <w:link w:val="CommentSubject"/>
    <w:uiPriority w:val="99"/>
    <w:semiHidden/>
    <w:rsid w:val="000A550B"/>
    <w:rPr>
      <w:rFonts w:ascii="Cambria" w:eastAsia="SimSun" w:hAnsi="Cambria" w:cs="font337"/>
      <w:b/>
      <w:bCs/>
      <w:kern w:val="1"/>
      <w:sz w:val="24"/>
      <w:szCs w:val="24"/>
      <w:lang w:eastAsia="ar-SA"/>
    </w:rPr>
  </w:style>
  <w:style w:type="character" w:styleId="PageNumber">
    <w:name w:val="page number"/>
    <w:basedOn w:val="DefaultParagraphFont"/>
    <w:uiPriority w:val="99"/>
    <w:semiHidden/>
    <w:unhideWhenUsed/>
    <w:rsid w:val="002B7FB8"/>
  </w:style>
  <w:style w:type="paragraph" w:styleId="NormalWeb">
    <w:name w:val="Normal (Web)"/>
    <w:basedOn w:val="Normal"/>
    <w:uiPriority w:val="99"/>
    <w:unhideWhenUsed/>
    <w:rsid w:val="005D54CE"/>
    <w:pPr>
      <w:suppressAutoHyphens w:val="0"/>
      <w:spacing w:before="100" w:beforeAutospacing="1" w:after="100" w:afterAutospacing="1"/>
    </w:pPr>
    <w:rPr>
      <w:rFonts w:ascii="Times New Roman" w:eastAsiaTheme="minorEastAsia"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02652">
      <w:bodyDiv w:val="1"/>
      <w:marLeft w:val="0"/>
      <w:marRight w:val="0"/>
      <w:marTop w:val="0"/>
      <w:marBottom w:val="0"/>
      <w:divBdr>
        <w:top w:val="none" w:sz="0" w:space="0" w:color="auto"/>
        <w:left w:val="none" w:sz="0" w:space="0" w:color="auto"/>
        <w:bottom w:val="none" w:sz="0" w:space="0" w:color="auto"/>
        <w:right w:val="none" w:sz="0" w:space="0" w:color="auto"/>
      </w:divBdr>
      <w:divsChild>
        <w:div w:id="933174802">
          <w:marLeft w:val="0"/>
          <w:marRight w:val="0"/>
          <w:marTop w:val="0"/>
          <w:marBottom w:val="0"/>
          <w:divBdr>
            <w:top w:val="none" w:sz="0" w:space="0" w:color="auto"/>
            <w:left w:val="none" w:sz="0" w:space="0" w:color="auto"/>
            <w:bottom w:val="none" w:sz="0" w:space="0" w:color="auto"/>
            <w:right w:val="none" w:sz="0" w:space="0" w:color="auto"/>
          </w:divBdr>
        </w:div>
      </w:divsChild>
    </w:div>
    <w:div w:id="941760035">
      <w:bodyDiv w:val="1"/>
      <w:marLeft w:val="0"/>
      <w:marRight w:val="0"/>
      <w:marTop w:val="0"/>
      <w:marBottom w:val="0"/>
      <w:divBdr>
        <w:top w:val="none" w:sz="0" w:space="0" w:color="auto"/>
        <w:left w:val="none" w:sz="0" w:space="0" w:color="auto"/>
        <w:bottom w:val="none" w:sz="0" w:space="0" w:color="auto"/>
        <w:right w:val="none" w:sz="0" w:space="0" w:color="auto"/>
      </w:divBdr>
    </w:div>
    <w:div w:id="1337414500">
      <w:bodyDiv w:val="1"/>
      <w:marLeft w:val="0"/>
      <w:marRight w:val="0"/>
      <w:marTop w:val="0"/>
      <w:marBottom w:val="0"/>
      <w:divBdr>
        <w:top w:val="none" w:sz="0" w:space="0" w:color="auto"/>
        <w:left w:val="none" w:sz="0" w:space="0" w:color="auto"/>
        <w:bottom w:val="none" w:sz="0" w:space="0" w:color="auto"/>
        <w:right w:val="none" w:sz="0" w:space="0" w:color="auto"/>
      </w:divBdr>
    </w:div>
    <w:div w:id="1766342829">
      <w:bodyDiv w:val="1"/>
      <w:marLeft w:val="0"/>
      <w:marRight w:val="0"/>
      <w:marTop w:val="0"/>
      <w:marBottom w:val="0"/>
      <w:divBdr>
        <w:top w:val="none" w:sz="0" w:space="0" w:color="auto"/>
        <w:left w:val="none" w:sz="0" w:space="0" w:color="auto"/>
        <w:bottom w:val="none" w:sz="0" w:space="0" w:color="auto"/>
        <w:right w:val="none" w:sz="0" w:space="0" w:color="auto"/>
      </w:divBdr>
      <w:divsChild>
        <w:div w:id="1433670523">
          <w:marLeft w:val="0"/>
          <w:marRight w:val="0"/>
          <w:marTop w:val="0"/>
          <w:marBottom w:val="0"/>
          <w:divBdr>
            <w:top w:val="none" w:sz="0" w:space="0" w:color="auto"/>
            <w:left w:val="none" w:sz="0" w:space="0" w:color="auto"/>
            <w:bottom w:val="none" w:sz="0" w:space="0" w:color="auto"/>
            <w:right w:val="none" w:sz="0" w:space="0" w:color="auto"/>
          </w:divBdr>
        </w:div>
      </w:divsChild>
    </w:div>
    <w:div w:id="1824346486">
      <w:bodyDiv w:val="1"/>
      <w:marLeft w:val="0"/>
      <w:marRight w:val="0"/>
      <w:marTop w:val="0"/>
      <w:marBottom w:val="0"/>
      <w:divBdr>
        <w:top w:val="none" w:sz="0" w:space="0" w:color="auto"/>
        <w:left w:val="none" w:sz="0" w:space="0" w:color="auto"/>
        <w:bottom w:val="none" w:sz="0" w:space="0" w:color="auto"/>
        <w:right w:val="none" w:sz="0" w:space="0" w:color="auto"/>
      </w:divBdr>
    </w:div>
    <w:div w:id="209053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c.gov/edgar/searchedgar/companysearch.html" TargetMode="External"/><Relationship Id="rId117" Type="http://schemas.openxmlformats.org/officeDocument/2006/relationships/footer" Target="footer5.xml"/><Relationship Id="rId21" Type="http://schemas.openxmlformats.org/officeDocument/2006/relationships/hyperlink" Target="http://SEC/" TargetMode="External"/><Relationship Id="rId42" Type="http://schemas.openxmlformats.org/officeDocument/2006/relationships/image" Target="media/image8.png"/><Relationship Id="rId47" Type="http://schemas.openxmlformats.org/officeDocument/2006/relationships/hyperlink" Target="http://www.sec.gov/edgar/searchedgar/companysearch.html" TargetMode="External"/><Relationship Id="rId63" Type="http://schemas.openxmlformats.org/officeDocument/2006/relationships/hyperlink" Target="http://SEC/" TargetMode="External"/><Relationship Id="rId68" Type="http://schemas.openxmlformats.org/officeDocument/2006/relationships/hyperlink" Target="http://www.sec.gov/edgar/searchedgar/companysearch.html" TargetMode="External"/><Relationship Id="rId84" Type="http://schemas.openxmlformats.org/officeDocument/2006/relationships/hyperlink" Target="http://www.sec.gov/edgar/searchedgar/companysearch.html" TargetMode="External"/><Relationship Id="rId89" Type="http://schemas.openxmlformats.org/officeDocument/2006/relationships/image" Target="media/image20.png"/><Relationship Id="rId112" Type="http://schemas.openxmlformats.org/officeDocument/2006/relationships/header" Target="header3.xml"/><Relationship Id="rId16" Type="http://schemas.openxmlformats.org/officeDocument/2006/relationships/footer" Target="footer2.xml"/><Relationship Id="rId107" Type="http://schemas.openxmlformats.org/officeDocument/2006/relationships/chart" Target="charts/chart12.xml"/><Relationship Id="rId11" Type="http://schemas.openxmlformats.org/officeDocument/2006/relationships/hyperlink" Target="http://www.southface.org/" TargetMode="External"/><Relationship Id="rId32" Type="http://schemas.openxmlformats.org/officeDocument/2006/relationships/hyperlink" Target="http://SEC/" TargetMode="External"/><Relationship Id="rId37" Type="http://schemas.openxmlformats.org/officeDocument/2006/relationships/hyperlink" Target="http://www.sec.gov/edgar/searchedgar/companysearch.html" TargetMode="External"/><Relationship Id="rId53" Type="http://schemas.openxmlformats.org/officeDocument/2006/relationships/hyperlink" Target="http://SEC/" TargetMode="External"/><Relationship Id="rId58" Type="http://schemas.openxmlformats.org/officeDocument/2006/relationships/hyperlink" Target="http://www.sec.gov/edgar/searchedgar/companysearch.html" TargetMode="External"/><Relationship Id="rId74" Type="http://schemas.openxmlformats.org/officeDocument/2006/relationships/hyperlink" Target="http://www.sec.gov/edgar/searchedgar/companysearch.html" TargetMode="External"/><Relationship Id="rId79" Type="http://schemas.openxmlformats.org/officeDocument/2006/relationships/hyperlink" Target="http://SEC/" TargetMode="External"/><Relationship Id="rId102" Type="http://schemas.openxmlformats.org/officeDocument/2006/relationships/chart" Target="charts/chart7.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chart" Target="charts/chart2.xml"/><Relationship Id="rId22" Type="http://schemas.openxmlformats.org/officeDocument/2006/relationships/hyperlink" Target="http://www.sec.gov/edgar/searchedgar/companysearch.html" TargetMode="External"/><Relationship Id="rId27" Type="http://schemas.openxmlformats.org/officeDocument/2006/relationships/hyperlink" Target="http://SEC/" TargetMode="External"/><Relationship Id="rId43" Type="http://schemas.openxmlformats.org/officeDocument/2006/relationships/image" Target="media/image9.png"/><Relationship Id="rId48" Type="http://schemas.openxmlformats.org/officeDocument/2006/relationships/hyperlink" Target="http://SEC/" TargetMode="External"/><Relationship Id="rId64" Type="http://schemas.openxmlformats.org/officeDocument/2006/relationships/hyperlink" Target="http://www.sec.gov/edgar/searchedgar/companysearch.html" TargetMode="External"/><Relationship Id="rId69" Type="http://schemas.openxmlformats.org/officeDocument/2006/relationships/hyperlink" Target="http://SEC/" TargetMode="External"/><Relationship Id="rId113" Type="http://schemas.openxmlformats.org/officeDocument/2006/relationships/header" Target="header4.xml"/><Relationship Id="rId118" Type="http://schemas.openxmlformats.org/officeDocument/2006/relationships/fontTable" Target="fontTable.xml"/><Relationship Id="rId80" Type="http://schemas.openxmlformats.org/officeDocument/2006/relationships/hyperlink" Target="http://www.sec.gov/edgar/searchedgar/companysearch.html" TargetMode="External"/><Relationship Id="rId85" Type="http://schemas.openxmlformats.org/officeDocument/2006/relationships/hyperlink" Target="http://SEC/" TargetMode="External"/><Relationship Id="rId12" Type="http://schemas.openxmlformats.org/officeDocument/2006/relationships/image" Target="media/image3.JPG"/><Relationship Id="rId17" Type="http://schemas.openxmlformats.org/officeDocument/2006/relationships/hyperlink" Target="http://opensource.org/licenses/GPL-2.0" TargetMode="External"/><Relationship Id="rId33" Type="http://schemas.openxmlformats.org/officeDocument/2006/relationships/hyperlink" Target="http://www.sec.gov/edgar/searchedgar/companysearch.html" TargetMode="External"/><Relationship Id="rId38" Type="http://schemas.openxmlformats.org/officeDocument/2006/relationships/hyperlink" Target="http://SEC/" TargetMode="External"/><Relationship Id="rId59" Type="http://schemas.openxmlformats.org/officeDocument/2006/relationships/hyperlink" Target="http://SEC/" TargetMode="External"/><Relationship Id="rId103" Type="http://schemas.openxmlformats.org/officeDocument/2006/relationships/chart" Target="charts/chart8.xml"/><Relationship Id="rId108" Type="http://schemas.openxmlformats.org/officeDocument/2006/relationships/image" Target="media/image27.png"/><Relationship Id="rId54" Type="http://schemas.openxmlformats.org/officeDocument/2006/relationships/hyperlink" Target="http://www.sec.gov/edgar/searchedgar/companysearch.html" TargetMode="External"/><Relationship Id="rId70" Type="http://schemas.openxmlformats.org/officeDocument/2006/relationships/hyperlink" Target="http://www.sec.gov/edgar/searchedgar/companysearch.html" TargetMode="External"/><Relationship Id="rId75" Type="http://schemas.openxmlformats.org/officeDocument/2006/relationships/hyperlink" Target="http://www.epa.gov/cleanenergy/energy-programs/suca/resources.html" TargetMode="External"/><Relationship Id="rId91" Type="http://schemas.openxmlformats.org/officeDocument/2006/relationships/image" Target="media/image22.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 TargetMode="External"/><Relationship Id="rId28" Type="http://schemas.openxmlformats.org/officeDocument/2006/relationships/hyperlink" Target="http://www.sec.gov/edgar/searchedgar/companysearch.html" TargetMode="External"/><Relationship Id="rId49" Type="http://schemas.openxmlformats.org/officeDocument/2006/relationships/hyperlink" Target="http://www.sec.gov/edgar/searchedgar/companysearch.html" TargetMode="External"/><Relationship Id="rId114" Type="http://schemas.openxmlformats.org/officeDocument/2006/relationships/footer" Target="footer3.xml"/><Relationship Id="rId119" Type="http://schemas.openxmlformats.org/officeDocument/2006/relationships/theme" Target="theme/theme1.xml"/><Relationship Id="rId10" Type="http://schemas.openxmlformats.org/officeDocument/2006/relationships/hyperlink" Target="http://www.cepl.gatech.edu/" TargetMode="External"/><Relationship Id="rId31" Type="http://schemas.openxmlformats.org/officeDocument/2006/relationships/hyperlink" Target="http://www.sec.gov/edgar/searchedgar/companysearch.html"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hyperlink" Target="http://www.sec.gov/edgar/searchedgar/companysearch.html" TargetMode="External"/><Relationship Id="rId65" Type="http://schemas.openxmlformats.org/officeDocument/2006/relationships/hyperlink" Target="http://SEC/" TargetMode="External"/><Relationship Id="rId73" Type="http://schemas.openxmlformats.org/officeDocument/2006/relationships/hyperlink" Target="http://SEC/" TargetMode="External"/><Relationship Id="rId78" Type="http://schemas.openxmlformats.org/officeDocument/2006/relationships/image" Target="media/image17.emf"/><Relationship Id="rId81" Type="http://schemas.openxmlformats.org/officeDocument/2006/relationships/hyperlink" Target="http://SEC/" TargetMode="External"/><Relationship Id="rId86" Type="http://schemas.openxmlformats.org/officeDocument/2006/relationships/hyperlink" Target="http://www.sec.gov/edgar/searchedgar/companysearch.html" TargetMode="External"/><Relationship Id="rId94" Type="http://schemas.openxmlformats.org/officeDocument/2006/relationships/chart" Target="charts/chart1.xml"/><Relationship Id="rId99" Type="http://schemas.openxmlformats.org/officeDocument/2006/relationships/chart" Target="charts/chart5.xml"/><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mailto:marilyn.brown@pubpolicy.gatech.edu" TargetMode="External"/><Relationship Id="rId39" Type="http://schemas.openxmlformats.org/officeDocument/2006/relationships/hyperlink" Target="http://www.sec.gov/edgar/searchedgar/companysearch.html" TargetMode="External"/><Relationship Id="rId109" Type="http://schemas.openxmlformats.org/officeDocument/2006/relationships/chart" Target="charts/chart13.xml"/><Relationship Id="rId34" Type="http://schemas.openxmlformats.org/officeDocument/2006/relationships/hyperlink" Target="http://SEC/" TargetMode="External"/><Relationship Id="rId50" Type="http://schemas.openxmlformats.org/officeDocument/2006/relationships/image" Target="media/image12.png"/><Relationship Id="rId55" Type="http://schemas.openxmlformats.org/officeDocument/2006/relationships/hyperlink" Target="http://SEC/" TargetMode="External"/><Relationship Id="rId76" Type="http://schemas.openxmlformats.org/officeDocument/2006/relationships/image" Target="media/image15.png"/><Relationship Id="rId97" Type="http://schemas.openxmlformats.org/officeDocument/2006/relationships/chart" Target="charts/chart4.xml"/><Relationship Id="rId104"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hyperlink" Target="http://SEC/"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sec.gov/edgar/searchedgar/companysearch.html"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www.sec.gov/edgar/searchedgar/companysearch.html" TargetMode="External"/><Relationship Id="rId87" Type="http://schemas.openxmlformats.org/officeDocument/2006/relationships/image" Target="media/image18.png"/><Relationship Id="rId110" Type="http://schemas.openxmlformats.org/officeDocument/2006/relationships/chart" Target="charts/chart14.xml"/><Relationship Id="rId115" Type="http://schemas.openxmlformats.org/officeDocument/2006/relationships/footer" Target="footer4.xml"/><Relationship Id="rId61" Type="http://schemas.openxmlformats.org/officeDocument/2006/relationships/hyperlink" Target="http://SEC/" TargetMode="External"/><Relationship Id="rId82" Type="http://schemas.openxmlformats.org/officeDocument/2006/relationships/hyperlink" Target="http://www.sec.gov/edgar/searchedgar/companysearch.html" TargetMode="External"/><Relationship Id="rId19" Type="http://schemas.openxmlformats.org/officeDocument/2006/relationships/hyperlink" Target="tel:404-385-0303" TargetMode="External"/><Relationship Id="rId14" Type="http://schemas.openxmlformats.org/officeDocument/2006/relationships/header" Target="header2.xml"/><Relationship Id="rId30" Type="http://schemas.openxmlformats.org/officeDocument/2006/relationships/hyperlink" Target="http://SEC/" TargetMode="External"/><Relationship Id="rId35" Type="http://schemas.openxmlformats.org/officeDocument/2006/relationships/hyperlink" Target="http://www.sec.gov/edgar/searchedgar/companysearch.html" TargetMode="External"/><Relationship Id="rId56" Type="http://schemas.openxmlformats.org/officeDocument/2006/relationships/hyperlink" Target="http://www.sec.gov/edgar/searchedgar/companysearch.html" TargetMode="External"/><Relationship Id="rId77" Type="http://schemas.openxmlformats.org/officeDocument/2006/relationships/image" Target="media/image16.png"/><Relationship Id="rId100" Type="http://schemas.openxmlformats.org/officeDocument/2006/relationships/chart" Target="charts/chart6.xml"/><Relationship Id="rId105" Type="http://schemas.openxmlformats.org/officeDocument/2006/relationships/chart" Target="charts/chart10.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www.sec.gov/edgar/searchedgar/companysearch.html" TargetMode="External"/><Relationship Id="rId93" Type="http://schemas.openxmlformats.org/officeDocument/2006/relationships/image" Target="media/image24.png"/><Relationship Id="rId98"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EC/" TargetMode="External"/><Relationship Id="rId46" Type="http://schemas.openxmlformats.org/officeDocument/2006/relationships/hyperlink" Target="http://SEC/" TargetMode="External"/><Relationship Id="rId67" Type="http://schemas.openxmlformats.org/officeDocument/2006/relationships/hyperlink" Target="http://SEC/" TargetMode="External"/><Relationship Id="rId11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7.png"/><Relationship Id="rId62" Type="http://schemas.openxmlformats.org/officeDocument/2006/relationships/hyperlink" Target="http://www.sec.gov/edgar/searchedgar/companysearch.html" TargetMode="External"/><Relationship Id="rId83" Type="http://schemas.openxmlformats.org/officeDocument/2006/relationships/hyperlink" Target="http://SEC/" TargetMode="External"/><Relationship Id="rId88" Type="http://schemas.openxmlformats.org/officeDocument/2006/relationships/image" Target="media/image19.png"/><Relationship Id="rId111" Type="http://schemas.openxmlformats.org/officeDocument/2006/relationships/chart" Target="charts/chart15.xml"/><Relationship Id="rId15" Type="http://schemas.openxmlformats.org/officeDocument/2006/relationships/footer" Target="footer1.xml"/><Relationship Id="rId36" Type="http://schemas.openxmlformats.org/officeDocument/2006/relationships/hyperlink" Target="http://SEC/" TargetMode="External"/><Relationship Id="rId57" Type="http://schemas.openxmlformats.org/officeDocument/2006/relationships/hyperlink" Target="http://SEC/" TargetMode="External"/><Relationship Id="rId106" Type="http://schemas.openxmlformats.org/officeDocument/2006/relationships/chart" Target="charts/chart11.xml"/></Relationships>
</file>

<file path=word/_rels/footnotes.xml.rels><?xml version="1.0" encoding="UTF-8" standalone="yes"?>
<Relationships xmlns="http://schemas.openxmlformats.org/package/2006/relationships"><Relationship Id="rId8" Type="http://schemas.openxmlformats.org/officeDocument/2006/relationships/hyperlink" Target="http://office.microsoft.com/en-us/excel-help/add-change-or-remove-a-trendline-in-a-chart-HP010007461.aspx" TargetMode="External"/><Relationship Id="rId3" Type="http://schemas.openxmlformats.org/officeDocument/2006/relationships/hyperlink" Target="mailto:jsibley@southface.org" TargetMode="External"/><Relationship Id="rId7" Type="http://schemas.openxmlformats.org/officeDocument/2006/relationships/hyperlink" Target="http://office.microsoft.com/en-us/excel-help/add-change-or-remove-a-trendline-in-a-chart-HP010007461.aspx" TargetMode="External"/><Relationship Id="rId2" Type="http://schemas.openxmlformats.org/officeDocument/2006/relationships/hyperlink" Target="mailto:asmith313@gatech.edu" TargetMode="External"/><Relationship Id="rId1" Type="http://schemas.openxmlformats.org/officeDocument/2006/relationships/hyperlink" Target="mailto:bstaver@gatech.edu" TargetMode="External"/><Relationship Id="rId6" Type="http://schemas.openxmlformats.org/officeDocument/2006/relationships/hyperlink" Target="http://en.openei.org/datasets/node/903" TargetMode="External"/><Relationship Id="rId5" Type="http://schemas.openxmlformats.org/officeDocument/2006/relationships/hyperlink" Target="http://www.nrel.gov/docs/fy13osti/53827.pdf" TargetMode="External"/><Relationship Id="rId4" Type="http://schemas.openxmlformats.org/officeDocument/2006/relationships/hyperlink" Target="mailto:marilyn.brown@pubpolicy.gatech.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Ben:Downloads:GT-DSM_ver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00"/>
            </a:pPr>
            <a:r>
              <a:rPr lang="en-US" sz="1000"/>
              <a:t>% Rate Difference</a:t>
            </a:r>
          </a:p>
          <a:p>
            <a:pPr>
              <a:defRPr sz="1000"/>
            </a:pPr>
            <a:r>
              <a:rPr lang="en-US" sz="1000"/>
              <a:t>(Base Case - EE Case)</a:t>
            </a:r>
          </a:p>
        </c:rich>
      </c:tx>
      <c:overlay val="0"/>
    </c:title>
    <c:autoTitleDeleted val="0"/>
    <c:plotArea>
      <c:layout/>
      <c:barChart>
        <c:barDir val="col"/>
        <c:grouping val="clustered"/>
        <c:varyColors val="0"/>
        <c:ser>
          <c:idx val="0"/>
          <c:order val="0"/>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Calc'!$BR$13:$CQ$13</c:f>
              <c:numCache>
                <c:formatCode>0.00%</c:formatCode>
                <c:ptCount val="26"/>
                <c:pt idx="0">
                  <c:v>0</c:v>
                </c:pt>
                <c:pt idx="1">
                  <c:v>5.3086580008804103E-3</c:v>
                </c:pt>
                <c:pt idx="2">
                  <c:v>6.4927046480437204E-3</c:v>
                </c:pt>
                <c:pt idx="3">
                  <c:v>7.6367179721012002E-3</c:v>
                </c:pt>
                <c:pt idx="4">
                  <c:v>8.7412334509453394E-3</c:v>
                </c:pt>
                <c:pt idx="5">
                  <c:v>9.8070075402917692E-3</c:v>
                </c:pt>
                <c:pt idx="6">
                  <c:v>1.0835003485782599E-2</c:v>
                </c:pt>
                <c:pt idx="7">
                  <c:v>1.1826375531982399E-2</c:v>
                </c:pt>
                <c:pt idx="8">
                  <c:v>1.278245179191E-2</c:v>
                </c:pt>
                <c:pt idx="9">
                  <c:v>1.3704716019557601E-2</c:v>
                </c:pt>
                <c:pt idx="10">
                  <c:v>1.45947884950565E-2</c:v>
                </c:pt>
                <c:pt idx="11">
                  <c:v>1.26011935692333E-2</c:v>
                </c:pt>
                <c:pt idx="12">
                  <c:v>1.2153823417316099E-2</c:v>
                </c:pt>
                <c:pt idx="13">
                  <c:v>1.17225596169096E-2</c:v>
                </c:pt>
                <c:pt idx="14">
                  <c:v>1.13071806560665E-2</c:v>
                </c:pt>
                <c:pt idx="15">
                  <c:v>1.09074220209403E-2</c:v>
                </c:pt>
                <c:pt idx="16">
                  <c:v>1.05229813483378E-2</c:v>
                </c:pt>
                <c:pt idx="17">
                  <c:v>1.01535234000439E-2</c:v>
                </c:pt>
                <c:pt idx="18">
                  <c:v>9.7986848237259592E-3</c:v>
                </c:pt>
                <c:pt idx="19">
                  <c:v>9.4580786726287894E-3</c:v>
                </c:pt>
                <c:pt idx="20">
                  <c:v>9.1312986630254604E-3</c:v>
                </c:pt>
                <c:pt idx="21">
                  <c:v>8.8179231544808293E-3</c:v>
                </c:pt>
                <c:pt idx="22">
                  <c:v>8.51751884343252E-3</c:v>
                </c:pt>
                <c:pt idx="23">
                  <c:v>8.2296441654156807E-3</c:v>
                </c:pt>
                <c:pt idx="24">
                  <c:v>7.9538524054760598E-3</c:v>
                </c:pt>
                <c:pt idx="25">
                  <c:v>7.68969451994764E-3</c:v>
                </c:pt>
              </c:numCache>
            </c:numRef>
          </c:val>
        </c:ser>
        <c:dLbls>
          <c:showLegendKey val="0"/>
          <c:showVal val="0"/>
          <c:showCatName val="0"/>
          <c:showSerName val="0"/>
          <c:showPercent val="0"/>
          <c:showBubbleSize val="0"/>
        </c:dLbls>
        <c:gapWidth val="150"/>
        <c:axId val="270326800"/>
        <c:axId val="270662384"/>
      </c:barChart>
      <c:catAx>
        <c:axId val="270326800"/>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0662384"/>
        <c:crosses val="autoZero"/>
        <c:auto val="1"/>
        <c:lblAlgn val="ctr"/>
        <c:lblOffset val="100"/>
        <c:noMultiLvlLbl val="0"/>
      </c:catAx>
      <c:valAx>
        <c:axId val="270662384"/>
        <c:scaling>
          <c:orientation val="minMax"/>
        </c:scaling>
        <c:delete val="0"/>
        <c:axPos val="l"/>
        <c:numFmt formatCode="0.0%" sourceLinked="0"/>
        <c:majorTickMark val="out"/>
        <c:minorTickMark val="none"/>
        <c:tickLblPos val="nextTo"/>
        <c:txPr>
          <a:bodyPr/>
          <a:lstStyle/>
          <a:p>
            <a:pPr>
              <a:defRPr sz="800"/>
            </a:pPr>
            <a:endParaRPr lang="en-US"/>
          </a:p>
        </c:txPr>
        <c:crossAx val="2703268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1" i="0" u="none" strike="noStrike" baseline="0">
                <a:solidFill>
                  <a:srgbClr val="000000"/>
                </a:solidFill>
                <a:latin typeface="Calibri"/>
                <a:ea typeface="Calibri"/>
                <a:cs typeface="Calibri"/>
              </a:defRPr>
            </a:pPr>
            <a:r>
              <a:rPr lang="en-US" sz="1000"/>
              <a:t>ROE Comparison</a:t>
            </a:r>
          </a:p>
        </c:rich>
      </c:tx>
      <c:overlay val="0"/>
      <c:spPr>
        <a:noFill/>
        <a:ln w="25400">
          <a:noFill/>
        </a:ln>
      </c:spPr>
    </c:title>
    <c:autoTitleDeleted val="0"/>
    <c:plotArea>
      <c:layout>
        <c:manualLayout>
          <c:layoutTarget val="inner"/>
          <c:xMode val="edge"/>
          <c:yMode val="edge"/>
          <c:x val="0.11659790765590899"/>
          <c:y val="0.28769903762029703"/>
          <c:w val="0.82008428523899302"/>
          <c:h val="0.581257518086992"/>
        </c:manualLayout>
      </c:layout>
      <c:lineChart>
        <c:grouping val="standard"/>
        <c:varyColors val="0"/>
        <c:ser>
          <c:idx val="0"/>
          <c:order val="0"/>
          <c:tx>
            <c:strRef>
              <c:f>'Utility Calc'!$C$68</c:f>
              <c:strCache>
                <c:ptCount val="1"/>
                <c:pt idx="0">
                  <c:v>ROE w/o EE</c:v>
                </c:pt>
              </c:strCache>
            </c:strRef>
          </c:tx>
          <c:spPr>
            <a:ln w="38100">
              <a:solidFill>
                <a:srgbClr val="666699"/>
              </a:solidFill>
              <a:prstDash val="sysDash"/>
            </a:ln>
          </c:spPr>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Calc'!$G$68:$AF$68</c:f>
              <c:numCache>
                <c:formatCode>0.00%</c:formatCode>
                <c:ptCount val="26"/>
                <c:pt idx="0">
                  <c:v>0.112742626345918</c:v>
                </c:pt>
                <c:pt idx="1">
                  <c:v>0.112864485435128</c:v>
                </c:pt>
                <c:pt idx="2">
                  <c:v>0.11297934188934</c:v>
                </c:pt>
                <c:pt idx="3">
                  <c:v>0.113099633371158</c:v>
                </c:pt>
                <c:pt idx="4">
                  <c:v>0.11322538434063099</c:v>
                </c:pt>
                <c:pt idx="5">
                  <c:v>0.11335660413794001</c:v>
                </c:pt>
                <c:pt idx="6">
                  <c:v>0.11349328658703001</c:v>
                </c:pt>
                <c:pt idx="7">
                  <c:v>0.113635409749758</c:v>
                </c:pt>
                <c:pt idx="8">
                  <c:v>0.113782935840421</c:v>
                </c:pt>
                <c:pt idx="9">
                  <c:v>0.113935811307688</c:v>
                </c:pt>
                <c:pt idx="10">
                  <c:v>0.114093967087841</c:v>
                </c:pt>
                <c:pt idx="11">
                  <c:v>0.114257319029827</c:v>
                </c:pt>
                <c:pt idx="12">
                  <c:v>0.114425768489097</c:v>
                </c:pt>
                <c:pt idx="13">
                  <c:v>0.114599203083671</c:v>
                </c:pt>
                <c:pt idx="14">
                  <c:v>0.114777497602408</c:v>
                </c:pt>
                <c:pt idx="15">
                  <c:v>0.114960515052227</c:v>
                </c:pt>
                <c:pt idx="16">
                  <c:v>0.115148107828084</c:v>
                </c:pt>
                <c:pt idx="17">
                  <c:v>0.11534011898705</c:v>
                </c:pt>
                <c:pt idx="18">
                  <c:v>0.115536383605805</c:v>
                </c:pt>
                <c:pt idx="19">
                  <c:v>0.115736730199472</c:v>
                </c:pt>
                <c:pt idx="20">
                  <c:v>0.115940982178883</c:v>
                </c:pt>
                <c:pt idx="21">
                  <c:v>0.116148959323171</c:v>
                </c:pt>
                <c:pt idx="22">
                  <c:v>0.116360479245014</c:v>
                </c:pt>
                <c:pt idx="23">
                  <c:v>0.116575358826827</c:v>
                </c:pt>
                <c:pt idx="24">
                  <c:v>0.11679341560770901</c:v>
                </c:pt>
                <c:pt idx="25">
                  <c:v>0.11701446910289701</c:v>
                </c:pt>
              </c:numCache>
            </c:numRef>
          </c:val>
          <c:smooth val="0"/>
        </c:ser>
        <c:ser>
          <c:idx val="1"/>
          <c:order val="1"/>
          <c:tx>
            <c:strRef>
              <c:f>'Utility Calc'!$C$69</c:f>
              <c:strCache>
                <c:ptCount val="1"/>
                <c:pt idx="0">
                  <c:v>ROE w/ EE</c:v>
                </c:pt>
              </c:strCache>
            </c:strRef>
          </c:tx>
          <c:spPr>
            <a:ln w="38100">
              <a:solidFill>
                <a:srgbClr val="DD2D32"/>
              </a:solidFill>
              <a:prstDash val="lgDashDot"/>
            </a:ln>
          </c:spPr>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Calc'!$G$69:$AF$69</c:f>
              <c:numCache>
                <c:formatCode>0.00%</c:formatCode>
                <c:ptCount val="26"/>
                <c:pt idx="0">
                  <c:v>0.112742626345918</c:v>
                </c:pt>
                <c:pt idx="1">
                  <c:v>0.11223392031243801</c:v>
                </c:pt>
                <c:pt idx="2">
                  <c:v>0.11224623927822799</c:v>
                </c:pt>
                <c:pt idx="3">
                  <c:v>0.11225441841985</c:v>
                </c:pt>
                <c:pt idx="4">
                  <c:v>0.112257644591941</c:v>
                </c:pt>
                <c:pt idx="5">
                  <c:v>0.112255022403213</c:v>
                </c:pt>
                <c:pt idx="6">
                  <c:v>0.112245568485032</c:v>
                </c:pt>
                <c:pt idx="7">
                  <c:v>0.11222820532635799</c:v>
                </c:pt>
                <c:pt idx="8">
                  <c:v>0.11220175458222199</c:v>
                </c:pt>
                <c:pt idx="9">
                  <c:v>0.112164929739535</c:v>
                </c:pt>
                <c:pt idx="10">
                  <c:v>0.112116327996176</c:v>
                </c:pt>
                <c:pt idx="11">
                  <c:v>0.11369849648286599</c:v>
                </c:pt>
                <c:pt idx="12">
                  <c:v>0.113841500309567</c:v>
                </c:pt>
                <c:pt idx="13">
                  <c:v>0.11398888829958</c:v>
                </c:pt>
                <c:pt idx="14">
                  <c:v>0.11414055823477599</c:v>
                </c:pt>
                <c:pt idx="15">
                  <c:v>0.114296397775664</c:v>
                </c:pt>
                <c:pt idx="16">
                  <c:v>0.11445628542821</c:v>
                </c:pt>
                <c:pt idx="17">
                  <c:v>0.114620091598664</c:v>
                </c:pt>
                <c:pt idx="18">
                  <c:v>0.114787679719207</c:v>
                </c:pt>
                <c:pt idx="19">
                  <c:v>0.114958907426053</c:v>
                </c:pt>
                <c:pt idx="20">
                  <c:v>0.115133627770934</c:v>
                </c:pt>
                <c:pt idx="21">
                  <c:v>0.11531169044673099</c:v>
                </c:pt>
                <c:pt idx="22">
                  <c:v>0.115492943008375</c:v>
                </c:pt>
                <c:pt idx="23">
                  <c:v>0.115677232070916</c:v>
                </c:pt>
                <c:pt idx="24">
                  <c:v>0.11586440446795</c:v>
                </c:pt>
                <c:pt idx="25">
                  <c:v>0.116054308355157</c:v>
                </c:pt>
              </c:numCache>
            </c:numRef>
          </c:val>
          <c:smooth val="0"/>
        </c:ser>
        <c:dLbls>
          <c:showLegendKey val="0"/>
          <c:showVal val="0"/>
          <c:showCatName val="0"/>
          <c:showSerName val="0"/>
          <c:showPercent val="0"/>
          <c:showBubbleSize val="0"/>
        </c:dLbls>
        <c:smooth val="0"/>
        <c:axId val="271623648"/>
        <c:axId val="271624208"/>
      </c:lineChart>
      <c:catAx>
        <c:axId val="271623648"/>
        <c:scaling>
          <c:orientation val="minMax"/>
        </c:scaling>
        <c:delete val="0"/>
        <c:axPos val="b"/>
        <c:numFmt formatCode="General" sourceLinked="0"/>
        <c:majorTickMark val="out"/>
        <c:minorTickMark val="none"/>
        <c:tickLblPos val="nextTo"/>
        <c:spPr>
          <a:ln w="3175">
            <a:solidFill>
              <a:srgbClr val="808080"/>
            </a:solidFill>
            <a:prstDash val="solid"/>
          </a:ln>
        </c:spPr>
        <c:txPr>
          <a:bodyPr/>
          <a:lstStyle/>
          <a:p>
            <a:pPr>
              <a:defRPr sz="800"/>
            </a:pPr>
            <a:endParaRPr lang="en-US"/>
          </a:p>
        </c:txPr>
        <c:crossAx val="271624208"/>
        <c:crosses val="autoZero"/>
        <c:auto val="1"/>
        <c:lblAlgn val="ctr"/>
        <c:lblOffset val="100"/>
        <c:noMultiLvlLbl val="0"/>
      </c:catAx>
      <c:valAx>
        <c:axId val="271624208"/>
        <c:scaling>
          <c:orientation val="minMax"/>
          <c:min val="0"/>
        </c:scaling>
        <c:delete val="0"/>
        <c:axPos val="l"/>
        <c:numFmt formatCode="0%" sourceLinked="0"/>
        <c:majorTickMark val="out"/>
        <c:minorTickMark val="none"/>
        <c:tickLblPos val="nextTo"/>
        <c:spPr>
          <a:ln w="3175">
            <a:solidFill>
              <a:srgbClr val="808080"/>
            </a:solidFill>
            <a:prstDash val="solid"/>
          </a:ln>
        </c:spPr>
        <c:txPr>
          <a:bodyPr rot="0" vert="horz"/>
          <a:lstStyle/>
          <a:p>
            <a:pPr>
              <a:defRPr sz="800" b="0" i="0" u="none" strike="noStrike" baseline="0">
                <a:solidFill>
                  <a:srgbClr val="000000"/>
                </a:solidFill>
                <a:latin typeface="Calibri"/>
                <a:ea typeface="Calibri"/>
                <a:cs typeface="Calibri"/>
              </a:defRPr>
            </a:pPr>
            <a:endParaRPr lang="en-US"/>
          </a:p>
        </c:txPr>
        <c:crossAx val="271623648"/>
        <c:crosses val="autoZero"/>
        <c:crossBetween val="between"/>
      </c:valAx>
      <c:spPr>
        <a:solidFill>
          <a:srgbClr val="FFFFFF"/>
        </a:solidFill>
        <a:ln w="25400">
          <a:noFill/>
        </a:ln>
      </c:spPr>
    </c:plotArea>
    <c:legend>
      <c:legendPos val="t"/>
      <c:layout>
        <c:manualLayout>
          <c:xMode val="edge"/>
          <c:yMode val="edge"/>
          <c:x val="8.9979668034453397E-2"/>
          <c:y val="0.16236162361623599"/>
          <c:w val="0.82004029425899205"/>
          <c:h val="0.141053549118168"/>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ROE Breakdown</a:t>
            </a:r>
          </a:p>
        </c:rich>
      </c:tx>
      <c:overlay val="0"/>
    </c:title>
    <c:autoTitleDeleted val="0"/>
    <c:plotArea>
      <c:layout>
        <c:manualLayout>
          <c:layoutTarget val="inner"/>
          <c:xMode val="edge"/>
          <c:yMode val="edge"/>
          <c:x val="0.133606151343758"/>
          <c:y val="0.34112459900845699"/>
          <c:w val="0.80439798898377102"/>
          <c:h val="0.54206444089776695"/>
        </c:manualLayout>
      </c:layout>
      <c:barChart>
        <c:barDir val="col"/>
        <c:grouping val="stacked"/>
        <c:varyColors val="0"/>
        <c:ser>
          <c:idx val="0"/>
          <c:order val="0"/>
          <c:tx>
            <c:strRef>
              <c:f>'Utility Calc'!$C$71</c:f>
              <c:strCache>
                <c:ptCount val="1"/>
                <c:pt idx="0">
                  <c:v>Non-DSM-cost-recovery ROE</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'Utility Calc'!$G$71:$AF$71</c:f>
              <c:numCache>
                <c:formatCode>_("$"* #,##0_);_("$"* \(#,##0\);_("$"* "-"??_);_(@_)</c:formatCode>
                <c:ptCount val="26"/>
                <c:pt idx="0">
                  <c:v>1185657829.96685</c:v>
                </c:pt>
                <c:pt idx="1">
                  <c:v>1176178087.1724</c:v>
                </c:pt>
                <c:pt idx="2">
                  <c:v>1191457520.6084099</c:v>
                </c:pt>
                <c:pt idx="3">
                  <c:v>1207516478.52107</c:v>
                </c:pt>
                <c:pt idx="4">
                  <c:v>1224367378.00846</c:v>
                </c:pt>
                <c:pt idx="5">
                  <c:v>1242018465.01578</c:v>
                </c:pt>
                <c:pt idx="6">
                  <c:v>1260472886.9625101</c:v>
                </c:pt>
                <c:pt idx="7">
                  <c:v>1279727615.2467</c:v>
                </c:pt>
                <c:pt idx="8">
                  <c:v>1299772194.8343501</c:v>
                </c:pt>
                <c:pt idx="9">
                  <c:v>1320587294.58412</c:v>
                </c:pt>
                <c:pt idx="10">
                  <c:v>1342143027.78701</c:v>
                </c:pt>
                <c:pt idx="11">
                  <c:v>1465409228.5046501</c:v>
                </c:pt>
                <c:pt idx="12">
                  <c:v>1513844943.19649</c:v>
                </c:pt>
                <c:pt idx="13">
                  <c:v>1565382490.6044099</c:v>
                </c:pt>
                <c:pt idx="14">
                  <c:v>1620228106.45032</c:v>
                </c:pt>
                <c:pt idx="15">
                  <c:v>1678601819.71245</c:v>
                </c:pt>
                <c:pt idx="16">
                  <c:v>1740738380.18576</c:v>
                </c:pt>
                <c:pt idx="17">
                  <c:v>1806888248.55162</c:v>
                </c:pt>
                <c:pt idx="18">
                  <c:v>1877318653.1654699</c:v>
                </c:pt>
                <c:pt idx="19">
                  <c:v>1952314718.0560501</c:v>
                </c:pt>
                <c:pt idx="20">
                  <c:v>2032180666.9330599</c:v>
                </c:pt>
                <c:pt idx="21">
                  <c:v>2117241108.3254299</c:v>
                </c:pt>
                <c:pt idx="22">
                  <c:v>2207842407.3186798</c:v>
                </c:pt>
                <c:pt idx="23">
                  <c:v>2304354149.7312002</c:v>
                </c:pt>
                <c:pt idx="24">
                  <c:v>2407170704.9651799</c:v>
                </c:pt>
                <c:pt idx="25">
                  <c:v>2516712894.1912699</c:v>
                </c:pt>
              </c:numCache>
            </c:numRef>
          </c:val>
        </c:ser>
        <c:ser>
          <c:idx val="1"/>
          <c:order val="1"/>
          <c:tx>
            <c:strRef>
              <c:f>'Utility Calc'!$C$72</c:f>
              <c:strCache>
                <c:ptCount val="1"/>
                <c:pt idx="0">
                  <c:v>Program Cost Recovery</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'Utility Calc'!$G$72:$AF$72</c:f>
              <c:numCache>
                <c:formatCode>_("$"* #,##0_);_("$"* \(#,##0\);_("$"* "-"??_);_(@_)</c:formatCode>
                <c:ptCount val="26"/>
                <c:pt idx="0">
                  <c:v>0</c:v>
                </c:pt>
                <c:pt idx="1">
                  <c:v>31790441</c:v>
                </c:pt>
                <c:pt idx="2">
                  <c:v>32735671.372000001</c:v>
                </c:pt>
                <c:pt idx="3">
                  <c:v>33709131.789332002</c:v>
                </c:pt>
                <c:pt idx="4">
                  <c:v>34711669.307341099</c:v>
                </c:pt>
                <c:pt idx="5">
                  <c:v>35744156.521234497</c:v>
                </c:pt>
                <c:pt idx="6">
                  <c:v>36807492.340001203</c:v>
                </c:pt>
                <c:pt idx="7">
                  <c:v>37902602.783903502</c:v>
                </c:pt>
                <c:pt idx="8">
                  <c:v>39030441.8062618</c:v>
                </c:pt>
                <c:pt idx="9">
                  <c:v>40191992.140276499</c:v>
                </c:pt>
                <c:pt idx="10">
                  <c:v>41388266.171653703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ser>
          <c:idx val="2"/>
          <c:order val="2"/>
          <c:tx>
            <c:strRef>
              <c:f>'Utility Calc'!$C$73</c:f>
              <c:strCache>
                <c:ptCount val="1"/>
                <c:pt idx="0">
                  <c:v>Recovery of Lost Revenue</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'Utility Calc'!$G$73:$AF$73</c:f>
              <c:numCache>
                <c:formatCode>_("$"* #,##0_);_("$"* \(#,##0\);_("$"* "-"??_);_(@_)</c:formatCode>
                <c:ptCount val="26"/>
                <c:pt idx="0">
                  <c:v>0</c:v>
                </c:pt>
                <c:pt idx="1">
                  <c:v>10444652.551956199</c:v>
                </c:pt>
                <c:pt idx="2">
                  <c:v>21613791.6682235</c:v>
                </c:pt>
                <c:pt idx="3">
                  <c:v>33581080.460084699</c:v>
                </c:pt>
                <c:pt idx="4">
                  <c:v>46428106.1561682</c:v>
                </c:pt>
                <c:pt idx="5">
                  <c:v>60245271.615400501</c:v>
                </c:pt>
                <c:pt idx="6">
                  <c:v>75132790.688258305</c:v>
                </c:pt>
                <c:pt idx="7">
                  <c:v>91201799.818241999</c:v>
                </c:pt>
                <c:pt idx="8">
                  <c:v>108575599.777233</c:v>
                </c:pt>
                <c:pt idx="9">
                  <c:v>127391043.113855</c:v>
                </c:pt>
                <c:pt idx="10">
                  <c:v>147800084.785705</c:v>
                </c:pt>
                <c:pt idx="11">
                  <c:v>151936800.786643</c:v>
                </c:pt>
                <c:pt idx="12">
                  <c:v>156322546.63789901</c:v>
                </c:pt>
                <c:pt idx="13">
                  <c:v>160973500.438656</c:v>
                </c:pt>
                <c:pt idx="14">
                  <c:v>165906900.10719699</c:v>
                </c:pt>
                <c:pt idx="15">
                  <c:v>171141113.03248101</c:v>
                </c:pt>
                <c:pt idx="16">
                  <c:v>176695710.30343401</c:v>
                </c:pt>
                <c:pt idx="17">
                  <c:v>182591545.81597799</c:v>
                </c:pt>
                <c:pt idx="18">
                  <c:v>188850840.57745099</c:v>
                </c:pt>
                <c:pt idx="19">
                  <c:v>195497272.54901999</c:v>
                </c:pt>
                <c:pt idx="20">
                  <c:v>202556072.389038</c:v>
                </c:pt>
                <c:pt idx="21">
                  <c:v>210054125.484072</c:v>
                </c:pt>
                <c:pt idx="22">
                  <c:v>218020080.67972001</c:v>
                </c:pt>
                <c:pt idx="23">
                  <c:v>226484466.15039799</c:v>
                </c:pt>
                <c:pt idx="24">
                  <c:v>235479812.87611699</c:v>
                </c:pt>
                <c:pt idx="25">
                  <c:v>245040786.224978</c:v>
                </c:pt>
              </c:numCache>
            </c:numRef>
          </c:val>
        </c:ser>
        <c:ser>
          <c:idx val="3"/>
          <c:order val="3"/>
          <c:tx>
            <c:strRef>
              <c:f>'Utility Calc'!$C$74</c:f>
              <c:strCache>
                <c:ptCount val="1"/>
                <c:pt idx="0">
                  <c:v>Incentives</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'Utility Calc'!$G$74:$AF$74</c:f>
              <c:numCache>
                <c:formatCode>_("$"* #,##0_);_("$"* \(#,##0\);_("$"* "-"??_);_(@_)</c:formatCode>
                <c:ptCount val="26"/>
                <c:pt idx="0">
                  <c:v>0</c:v>
                </c:pt>
                <c:pt idx="1">
                  <c:v>12521547.396697801</c:v>
                </c:pt>
                <c:pt idx="2">
                  <c:v>12875777.009032199</c:v>
                </c:pt>
                <c:pt idx="3">
                  <c:v>13247431.3941852</c:v>
                </c:pt>
                <c:pt idx="4">
                  <c:v>13637438.2959165</c:v>
                </c:pt>
                <c:pt idx="5">
                  <c:v>14046775.267478</c:v>
                </c:pt>
                <c:pt idx="6">
                  <c:v>14476472.323865499</c:v>
                </c:pt>
                <c:pt idx="7">
                  <c:v>14927614.734263999</c:v>
                </c:pt>
                <c:pt idx="8">
                  <c:v>15401345.9620609</c:v>
                </c:pt>
                <c:pt idx="9">
                  <c:v>15898870.760187799</c:v>
                </c:pt>
                <c:pt idx="10">
                  <c:v>16421458.429958699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dLbls>
        <c:gapWidth val="150"/>
        <c:overlap val="100"/>
        <c:axId val="271243520"/>
        <c:axId val="271244080"/>
      </c:barChart>
      <c:catAx>
        <c:axId val="271243520"/>
        <c:scaling>
          <c:orientation val="minMax"/>
        </c:scaling>
        <c:delete val="0"/>
        <c:axPos val="b"/>
        <c:numFmt formatCode="General" sourceLinked="1"/>
        <c:majorTickMark val="out"/>
        <c:minorTickMark val="none"/>
        <c:tickLblPos val="nextTo"/>
        <c:txPr>
          <a:bodyPr/>
          <a:lstStyle/>
          <a:p>
            <a:pPr>
              <a:defRPr sz="800"/>
            </a:pPr>
            <a:endParaRPr lang="en-US"/>
          </a:p>
        </c:txPr>
        <c:crossAx val="271244080"/>
        <c:crosses val="autoZero"/>
        <c:auto val="1"/>
        <c:lblAlgn val="ctr"/>
        <c:lblOffset val="100"/>
        <c:tickLblSkip val="5"/>
        <c:noMultiLvlLbl val="0"/>
      </c:catAx>
      <c:valAx>
        <c:axId val="271244080"/>
        <c:scaling>
          <c:orientation val="minMax"/>
          <c:max val="3000000000"/>
          <c:min val="0"/>
        </c:scaling>
        <c:delete val="0"/>
        <c:axPos val="l"/>
        <c:numFmt formatCode="_(&quot;$&quot;* #,##0_);_(&quot;$&quot;* \(#,##0\);_(&quot;$&quot;* &quot;-&quot;??_);_(@_)" sourceLinked="1"/>
        <c:majorTickMark val="out"/>
        <c:minorTickMark val="none"/>
        <c:tickLblPos val="nextTo"/>
        <c:txPr>
          <a:bodyPr/>
          <a:lstStyle/>
          <a:p>
            <a:pPr>
              <a:defRPr sz="800"/>
            </a:pPr>
            <a:endParaRPr lang="en-US"/>
          </a:p>
        </c:txPr>
        <c:crossAx val="271243520"/>
        <c:crosses val="autoZero"/>
        <c:crossBetween val="between"/>
        <c:majorUnit val="1000000000"/>
        <c:dispUnits>
          <c:builtInUnit val="billions"/>
          <c:dispUnitsLbl>
            <c:layout>
              <c:manualLayout>
                <c:xMode val="edge"/>
                <c:yMode val="edge"/>
                <c:x val="0"/>
                <c:y val="0.47575427417122601"/>
              </c:manualLayout>
            </c:layout>
            <c:txPr>
              <a:bodyPr/>
              <a:lstStyle/>
              <a:p>
                <a:pPr>
                  <a:defRPr sz="800"/>
                </a:pPr>
                <a:endParaRPr lang="en-US"/>
              </a:p>
            </c:txPr>
          </c:dispUnitsLbl>
        </c:dispUnits>
      </c:valAx>
    </c:plotArea>
    <c:legend>
      <c:legendPos val="t"/>
      <c:layout>
        <c:manualLayout>
          <c:xMode val="edge"/>
          <c:yMode val="edge"/>
          <c:x val="0.20238475472256101"/>
          <c:y val="0.16903515332834701"/>
          <c:w val="0.57645077815977197"/>
          <c:h val="0.30403477052279498"/>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1" i="0" u="none" strike="noStrike" baseline="0">
                <a:solidFill>
                  <a:srgbClr val="000000"/>
                </a:solidFill>
                <a:latin typeface="Calibri"/>
                <a:ea typeface="Calibri"/>
                <a:cs typeface="Calibri"/>
              </a:defRPr>
            </a:pPr>
            <a:r>
              <a:rPr lang="en-US" sz="1000"/>
              <a:t>Total Costs of Production </a:t>
            </a:r>
          </a:p>
        </c:rich>
      </c:tx>
      <c:overlay val="0"/>
      <c:spPr>
        <a:noFill/>
        <a:ln w="25400">
          <a:noFill/>
        </a:ln>
      </c:spPr>
    </c:title>
    <c:autoTitleDeleted val="0"/>
    <c:plotArea>
      <c:layout>
        <c:manualLayout>
          <c:layoutTarget val="inner"/>
          <c:xMode val="edge"/>
          <c:yMode val="edge"/>
          <c:x val="0.16474226804123701"/>
          <c:y val="0.19393175853018399"/>
          <c:w val="0.51801607273317596"/>
          <c:h val="0.69580885147977201"/>
        </c:manualLayout>
      </c:layout>
      <c:lineChart>
        <c:grouping val="standard"/>
        <c:varyColors val="0"/>
        <c:ser>
          <c:idx val="0"/>
          <c:order val="0"/>
          <c:tx>
            <c:strRef>
              <c:f>'Utility Calc'!$C$53</c:f>
              <c:strCache>
                <c:ptCount val="1"/>
                <c:pt idx="0">
                  <c:v>Fixed Cost RR</c:v>
                </c:pt>
              </c:strCache>
            </c:strRef>
          </c:tx>
          <c:spPr>
            <a:ln w="38100">
              <a:solidFill>
                <a:srgbClr val="666699"/>
              </a:solidFill>
              <a:prstDash val="sysDash"/>
            </a:ln>
          </c:spPr>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Calc'!$G$53:$AF$53</c:f>
              <c:numCache>
                <c:formatCode>_("$"* #,##0_);_("$"* \(#,##0\);_("$"* "-"??_);_(@_)</c:formatCode>
                <c:ptCount val="26"/>
                <c:pt idx="0">
                  <c:v>3353681164.4549799</c:v>
                </c:pt>
                <c:pt idx="1">
                  <c:v>3481083513.7646699</c:v>
                </c:pt>
                <c:pt idx="2">
                  <c:v>3552887131.8057098</c:v>
                </c:pt>
                <c:pt idx="3">
                  <c:v>3628765352.1469002</c:v>
                </c:pt>
                <c:pt idx="4">
                  <c:v>3708980246.4376998</c:v>
                </c:pt>
                <c:pt idx="5">
                  <c:v>3793810893.2098799</c:v>
                </c:pt>
                <c:pt idx="6">
                  <c:v>3883554483.0469599</c:v>
                </c:pt>
                <c:pt idx="7">
                  <c:v>3978527495.5871501</c:v>
                </c:pt>
                <c:pt idx="8">
                  <c:v>4079066953.0284901</c:v>
                </c:pt>
                <c:pt idx="9">
                  <c:v>4185531755.1091499</c:v>
                </c:pt>
                <c:pt idx="10">
                  <c:v>4298304100.85847</c:v>
                </c:pt>
                <c:pt idx="11">
                  <c:v>4417791002.7589798</c:v>
                </c:pt>
                <c:pt idx="12">
                  <c:v>4544425899.3259897</c:v>
                </c:pt>
                <c:pt idx="13">
                  <c:v>4678670372.5019903</c:v>
                </c:pt>
                <c:pt idx="14">
                  <c:v>4821015976.6786003</c:v>
                </c:pt>
                <c:pt idx="15">
                  <c:v>4971986186.6020403</c:v>
                </c:pt>
                <c:pt idx="16">
                  <c:v>5132138471.8893299</c:v>
                </c:pt>
                <c:pt idx="17">
                  <c:v>5302066506.3850298</c:v>
                </c:pt>
                <c:pt idx="18">
                  <c:v>5482402521.1230602</c:v>
                </c:pt>
                <c:pt idx="19">
                  <c:v>5673819810.22789</c:v>
                </c:pt>
                <c:pt idx="20">
                  <c:v>5877035399.6961899</c:v>
                </c:pt>
                <c:pt idx="21">
                  <c:v>6092812889.6460199</c:v>
                </c:pt>
                <c:pt idx="22">
                  <c:v>6321965481.3090696</c:v>
                </c:pt>
                <c:pt idx="23">
                  <c:v>6565359200.7740803</c:v>
                </c:pt>
                <c:pt idx="24">
                  <c:v>6823916332.2703505</c:v>
                </c:pt>
                <c:pt idx="25">
                  <c:v>7098619074.6113005</c:v>
                </c:pt>
              </c:numCache>
            </c:numRef>
          </c:val>
          <c:smooth val="0"/>
        </c:ser>
        <c:ser>
          <c:idx val="1"/>
          <c:order val="1"/>
          <c:tx>
            <c:strRef>
              <c:f>'Utility Calc'!$D$35</c:f>
              <c:strCache>
                <c:ptCount val="1"/>
                <c:pt idx="0">
                  <c:v>Cost of Production - EE</c:v>
                </c:pt>
              </c:strCache>
            </c:strRef>
          </c:tx>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Calc'!$G$35:$AF$35</c:f>
              <c:numCache>
                <c:formatCode>_("$"* #,##0_);_("$"* \(#,##0\);_("$"* "-"??_);_(@_)</c:formatCode>
                <c:ptCount val="26"/>
                <c:pt idx="0">
                  <c:v>3134434200.5479498</c:v>
                </c:pt>
                <c:pt idx="1">
                  <c:v>3366970885.28265</c:v>
                </c:pt>
                <c:pt idx="2">
                  <c:v>3616140504.0310998</c:v>
                </c:pt>
                <c:pt idx="3">
                  <c:v>3883044431.8260598</c:v>
                </c:pt>
                <c:pt idx="4">
                  <c:v>4168843907.12115</c:v>
                </c:pt>
                <c:pt idx="5">
                  <c:v>4474761200.1836205</c:v>
                </c:pt>
                <c:pt idx="6">
                  <c:v>4802080398.9508696</c:v>
                </c:pt>
                <c:pt idx="7">
                  <c:v>5152147718.1977596</c:v>
                </c:pt>
                <c:pt idx="8">
                  <c:v>5526371221.7678204</c:v>
                </c:pt>
                <c:pt idx="9">
                  <c:v>5926219829.0809498</c:v>
                </c:pt>
                <c:pt idx="10">
                  <c:v>6353221455.7895203</c:v>
                </c:pt>
                <c:pt idx="11">
                  <c:v>6850026224.6248503</c:v>
                </c:pt>
                <c:pt idx="12">
                  <c:v>7385688961.4653196</c:v>
                </c:pt>
                <c:pt idx="13">
                  <c:v>7963249697.5894699</c:v>
                </c:pt>
                <c:pt idx="14">
                  <c:v>8585986356.7379999</c:v>
                </c:pt>
                <c:pt idx="15">
                  <c:v>9257433375.5118103</c:v>
                </c:pt>
                <c:pt idx="16">
                  <c:v>9981401781.5899105</c:v>
                </c:pt>
                <c:pt idx="17">
                  <c:v>10762000843.930201</c:v>
                </c:pt>
                <c:pt idx="18">
                  <c:v>11603661418.0592</c:v>
                </c:pt>
                <c:pt idx="19">
                  <c:v>12511161119.1987</c:v>
                </c:pt>
                <c:pt idx="20">
                  <c:v>13489651466.378</c:v>
                </c:pt>
                <c:pt idx="21">
                  <c:v>14544687151.8909</c:v>
                </c:pt>
                <c:pt idx="22">
                  <c:v>15682257602.552999</c:v>
                </c:pt>
                <c:pt idx="23">
                  <c:v>16908821012.2477</c:v>
                </c:pt>
                <c:pt idx="24">
                  <c:v>18231341039.319599</c:v>
                </c:pt>
                <c:pt idx="25">
                  <c:v>19657326377.5271</c:v>
                </c:pt>
              </c:numCache>
            </c:numRef>
          </c:val>
          <c:smooth val="0"/>
        </c:ser>
        <c:ser>
          <c:idx val="2"/>
          <c:order val="2"/>
          <c:tx>
            <c:strRef>
              <c:f>'Utility Calc'!$D$32</c:f>
              <c:strCache>
                <c:ptCount val="1"/>
                <c:pt idx="0">
                  <c:v>Cost of Production - Base</c:v>
                </c:pt>
              </c:strCache>
            </c:strRef>
          </c:tx>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Calc'!$G$32:$AF$32</c:f>
              <c:numCache>
                <c:formatCode>_("$"* #,##0_);_("$"* \(#,##0\);_("$"* "-"??_);_(@_)</c:formatCode>
                <c:ptCount val="26"/>
                <c:pt idx="0">
                  <c:v>3134434200.5479498</c:v>
                </c:pt>
                <c:pt idx="1">
                  <c:v>3379434390.2312698</c:v>
                </c:pt>
                <c:pt idx="2">
                  <c:v>3643589229.3850999</c:v>
                </c:pt>
                <c:pt idx="3">
                  <c:v>3928396620.88696</c:v>
                </c:pt>
                <c:pt idx="4">
                  <c:v>4235471632.0640998</c:v>
                </c:pt>
                <c:pt idx="5">
                  <c:v>4566555661.3693304</c:v>
                </c:pt>
                <c:pt idx="6">
                  <c:v>4923526322.4096203</c:v>
                </c:pt>
                <c:pt idx="7">
                  <c:v>5308408101.47859</c:v>
                </c:pt>
                <c:pt idx="8">
                  <c:v>5723383849.1405201</c:v>
                </c:pt>
                <c:pt idx="9">
                  <c:v>6170807171.1542501</c:v>
                </c:pt>
                <c:pt idx="10">
                  <c:v>6653215789.1369104</c:v>
                </c:pt>
                <c:pt idx="11">
                  <c:v>7173345946.8802099</c:v>
                </c:pt>
                <c:pt idx="12">
                  <c:v>7734147944.1754904</c:v>
                </c:pt>
                <c:pt idx="13">
                  <c:v>8338802886.41364</c:v>
                </c:pt>
                <c:pt idx="14">
                  <c:v>8990740745.1372299</c:v>
                </c:pt>
                <c:pt idx="15">
                  <c:v>9693659832.1753502</c:v>
                </c:pt>
                <c:pt idx="16">
                  <c:v>10451547798.0278</c:v>
                </c:pt>
                <c:pt idx="17">
                  <c:v>11268704273.8321</c:v>
                </c:pt>
                <c:pt idx="18">
                  <c:v>12149765285.590401</c:v>
                </c:pt>
                <c:pt idx="19">
                  <c:v>13099729579.411501</c:v>
                </c:pt>
                <c:pt idx="20">
                  <c:v>14123987007.388901</c:v>
                </c:pt>
                <c:pt idx="21">
                  <c:v>15228349135.452299</c:v>
                </c:pt>
                <c:pt idx="22">
                  <c:v>16419082247.166</c:v>
                </c:pt>
                <c:pt idx="23">
                  <c:v>17702942931.073101</c:v>
                </c:pt>
                <c:pt idx="24">
                  <c:v>19087216453.874298</c:v>
                </c:pt>
                <c:pt idx="25">
                  <c:v>20579758137.576401</c:v>
                </c:pt>
              </c:numCache>
            </c:numRef>
          </c:val>
          <c:smooth val="0"/>
        </c:ser>
        <c:dLbls>
          <c:showLegendKey val="0"/>
          <c:showVal val="0"/>
          <c:showCatName val="0"/>
          <c:showSerName val="0"/>
          <c:showPercent val="0"/>
          <c:showBubbleSize val="0"/>
        </c:dLbls>
        <c:smooth val="0"/>
        <c:axId val="271272192"/>
        <c:axId val="271272752"/>
      </c:lineChart>
      <c:catAx>
        <c:axId val="271272192"/>
        <c:scaling>
          <c:orientation val="minMax"/>
        </c:scaling>
        <c:delete val="0"/>
        <c:axPos val="b"/>
        <c:numFmt formatCode="General" sourceLinked="0"/>
        <c:majorTickMark val="out"/>
        <c:minorTickMark val="none"/>
        <c:tickLblPos val="nextTo"/>
        <c:spPr>
          <a:ln w="3175">
            <a:solidFill>
              <a:srgbClr val="808080"/>
            </a:solidFill>
            <a:prstDash val="solid"/>
          </a:ln>
        </c:spPr>
        <c:txPr>
          <a:bodyPr/>
          <a:lstStyle/>
          <a:p>
            <a:pPr>
              <a:defRPr sz="800"/>
            </a:pPr>
            <a:endParaRPr lang="en-US"/>
          </a:p>
        </c:txPr>
        <c:crossAx val="271272752"/>
        <c:crosses val="autoZero"/>
        <c:auto val="1"/>
        <c:lblAlgn val="ctr"/>
        <c:lblOffset val="100"/>
        <c:noMultiLvlLbl val="0"/>
      </c:catAx>
      <c:valAx>
        <c:axId val="271272752"/>
        <c:scaling>
          <c:orientation val="minMax"/>
        </c:scaling>
        <c:delete val="0"/>
        <c:axPos val="l"/>
        <c:numFmt formatCode="_(&quot;$&quot;* #,##0_);_(&quot;$&quot;* \(#,##0\);_(&quot;$&quot;* &quot;-&quot;??_);_(@_)" sourceLinked="1"/>
        <c:majorTickMark val="out"/>
        <c:minorTickMark val="none"/>
        <c:tickLblPos val="nextTo"/>
        <c:spPr>
          <a:ln w="3175">
            <a:solidFill>
              <a:srgbClr val="808080"/>
            </a:solidFill>
            <a:prstDash val="solid"/>
          </a:ln>
        </c:spPr>
        <c:txPr>
          <a:bodyPr rot="0" vert="horz"/>
          <a:lstStyle/>
          <a:p>
            <a:pPr>
              <a:defRPr sz="800" b="0" i="0" u="none" strike="noStrike" baseline="0">
                <a:solidFill>
                  <a:srgbClr val="000000"/>
                </a:solidFill>
                <a:latin typeface="Calibri"/>
                <a:ea typeface="Calibri"/>
                <a:cs typeface="Calibri"/>
              </a:defRPr>
            </a:pPr>
            <a:endParaRPr lang="en-US"/>
          </a:p>
        </c:txPr>
        <c:crossAx val="271272192"/>
        <c:crosses val="autoZero"/>
        <c:crossBetween val="between"/>
        <c:dispUnits>
          <c:builtInUnit val="billions"/>
          <c:dispUnitsLbl>
            <c:layout>
              <c:manualLayout>
                <c:xMode val="edge"/>
                <c:yMode val="edge"/>
                <c:x val="0"/>
                <c:y val="0.42841451715087298"/>
              </c:manualLayout>
            </c:layout>
          </c:dispUnitsLbl>
        </c:dispUnits>
      </c:valAx>
      <c:spPr>
        <a:solidFill>
          <a:srgbClr val="FFFFFF"/>
        </a:solidFill>
        <a:ln w="25400">
          <a:noFill/>
        </a:ln>
      </c:spPr>
    </c:plotArea>
    <c:legend>
      <c:legendPos val="r"/>
      <c:layout>
        <c:manualLayout>
          <c:xMode val="edge"/>
          <c:yMode val="edge"/>
          <c:x val="0.64477357583823103"/>
          <c:y val="0.237754881226142"/>
          <c:w val="0.35044175816051198"/>
          <c:h val="0.664176834986136"/>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CBA Test Result Comparison</a:t>
            </a:r>
          </a:p>
        </c:rich>
      </c:tx>
      <c:overlay val="0"/>
    </c:title>
    <c:autoTitleDeleted val="0"/>
    <c:plotArea>
      <c:layout/>
      <c:barChart>
        <c:barDir val="col"/>
        <c:grouping val="clustered"/>
        <c:varyColors val="0"/>
        <c:ser>
          <c:idx val="0"/>
          <c:order val="0"/>
          <c:tx>
            <c:strRef>
              <c:f>'CBA Calc'!$C$96</c:f>
              <c:strCache>
                <c:ptCount val="1"/>
                <c:pt idx="0">
                  <c:v>10-Year NPV</c:v>
                </c:pt>
              </c:strCache>
            </c:strRef>
          </c:tx>
          <c:spPr>
            <a:solidFill>
              <a:schemeClr val="accent5"/>
            </a:solidFill>
            <a:ln w="25400" cap="flat" cmpd="sng" algn="ctr">
              <a:solidFill>
                <a:schemeClr val="accent5">
                  <a:shade val="50000"/>
                </a:schemeClr>
              </a:solidFill>
              <a:prstDash val="solid"/>
            </a:ln>
            <a:effectLst/>
          </c:spPr>
          <c:invertIfNegative val="0"/>
          <c:cat>
            <c:strRef>
              <c:f>'CBA Calc'!$F$94:$I$94</c:f>
              <c:strCache>
                <c:ptCount val="4"/>
                <c:pt idx="0">
                  <c:v>RIM</c:v>
                </c:pt>
                <c:pt idx="1">
                  <c:v>TRC</c:v>
                </c:pt>
                <c:pt idx="2">
                  <c:v>PAC</c:v>
                </c:pt>
                <c:pt idx="3">
                  <c:v>PCT</c:v>
                </c:pt>
              </c:strCache>
            </c:strRef>
          </c:cat>
          <c:val>
            <c:numRef>
              <c:f>'CBA Calc'!$F$96:$I$96</c:f>
              <c:numCache>
                <c:formatCode>_("$"* #,##0_);_("$"* \(#,##0\);_("$"* "-"??_);_(@_)</c:formatCode>
                <c:ptCount val="4"/>
                <c:pt idx="0">
                  <c:v>-255.8939815525726</c:v>
                </c:pt>
                <c:pt idx="1">
                  <c:v>13.646397762877699</c:v>
                </c:pt>
                <c:pt idx="2">
                  <c:v>28.738710099860871</c:v>
                </c:pt>
                <c:pt idx="3">
                  <c:v>198.85776864246611</c:v>
                </c:pt>
              </c:numCache>
            </c:numRef>
          </c:val>
        </c:ser>
        <c:ser>
          <c:idx val="1"/>
          <c:order val="1"/>
          <c:tx>
            <c:strRef>
              <c:f>'CBA Calc'!$C$97</c:f>
              <c:strCache>
                <c:ptCount val="1"/>
                <c:pt idx="0">
                  <c:v>25-Year NPV</c:v>
                </c:pt>
              </c:strCache>
            </c:strRef>
          </c:tx>
          <c:spPr>
            <a:solidFill>
              <a:schemeClr val="accent1"/>
            </a:solidFill>
            <a:ln w="25400" cap="flat" cmpd="sng" algn="ctr">
              <a:solidFill>
                <a:schemeClr val="accent1">
                  <a:shade val="50000"/>
                </a:schemeClr>
              </a:solidFill>
              <a:prstDash val="solid"/>
            </a:ln>
            <a:effectLst/>
          </c:spPr>
          <c:invertIfNegative val="0"/>
          <c:cat>
            <c:strRef>
              <c:f>'CBA Calc'!$F$94:$I$94</c:f>
              <c:strCache>
                <c:ptCount val="4"/>
                <c:pt idx="0">
                  <c:v>RIM</c:v>
                </c:pt>
                <c:pt idx="1">
                  <c:v>TRC</c:v>
                </c:pt>
                <c:pt idx="2">
                  <c:v>PAC</c:v>
                </c:pt>
                <c:pt idx="3">
                  <c:v>PCT</c:v>
                </c:pt>
              </c:strCache>
            </c:strRef>
          </c:cat>
          <c:val>
            <c:numRef>
              <c:f>'CBA Calc'!$F$97:$I$97</c:f>
              <c:numCache>
                <c:formatCode>_("$"* #,##0_);_("$"* \(#,##0\);_("$"* "-"??_);_(@_)</c:formatCode>
                <c:ptCount val="4"/>
                <c:pt idx="0">
                  <c:v>-323.06422086175979</c:v>
                </c:pt>
                <c:pt idx="1">
                  <c:v>135.39862669907771</c:v>
                </c:pt>
                <c:pt idx="2">
                  <c:v>150.49093903606081</c:v>
                </c:pt>
                <c:pt idx="3">
                  <c:v>306.52424261019428</c:v>
                </c:pt>
              </c:numCache>
            </c:numRef>
          </c:val>
        </c:ser>
        <c:ser>
          <c:idx val="2"/>
          <c:order val="2"/>
          <c:tx>
            <c:strRef>
              <c:f>'CBA Calc'!$C$98</c:f>
              <c:strCache>
                <c:ptCount val="1"/>
                <c:pt idx="0">
                  <c:v>Utility Value</c:v>
                </c:pt>
              </c:strCache>
            </c:strRef>
          </c:tx>
          <c:spPr>
            <a:solidFill>
              <a:schemeClr val="accent3"/>
            </a:solidFill>
            <a:ln w="25400" cap="flat" cmpd="sng" algn="ctr">
              <a:solidFill>
                <a:schemeClr val="accent3">
                  <a:shade val="50000"/>
                </a:schemeClr>
              </a:solidFill>
              <a:prstDash val="solid"/>
            </a:ln>
            <a:effectLst/>
          </c:spPr>
          <c:invertIfNegative val="0"/>
          <c:cat>
            <c:strRef>
              <c:f>'CBA Calc'!$F$94:$I$94</c:f>
              <c:strCache>
                <c:ptCount val="4"/>
                <c:pt idx="0">
                  <c:v>RIM</c:v>
                </c:pt>
                <c:pt idx="1">
                  <c:v>TRC</c:v>
                </c:pt>
                <c:pt idx="2">
                  <c:v>PAC</c:v>
                </c:pt>
                <c:pt idx="3">
                  <c:v>PCT</c:v>
                </c:pt>
              </c:strCache>
            </c:strRef>
          </c:cat>
          <c:val>
            <c:numRef>
              <c:f>'CBA Calc'!$F$98:$I$98</c:f>
              <c:numCache>
                <c:formatCode>_("$"* #,##0_);_("$"* \(#,##0\);_("$"* "-"??_);_(@_)</c:formatCode>
                <c:ptCount val="4"/>
                <c:pt idx="0">
                  <c:v>-343</c:v>
                </c:pt>
                <c:pt idx="1">
                  <c:v>184</c:v>
                </c:pt>
                <c:pt idx="2">
                  <c:v>200</c:v>
                </c:pt>
                <c:pt idx="3">
                  <c:v>528</c:v>
                </c:pt>
              </c:numCache>
            </c:numRef>
          </c:val>
        </c:ser>
        <c:dLbls>
          <c:showLegendKey val="0"/>
          <c:showVal val="0"/>
          <c:showCatName val="0"/>
          <c:showSerName val="0"/>
          <c:showPercent val="0"/>
          <c:showBubbleSize val="0"/>
        </c:dLbls>
        <c:gapWidth val="150"/>
        <c:axId val="272656944"/>
        <c:axId val="272657504"/>
      </c:barChart>
      <c:catAx>
        <c:axId val="272656944"/>
        <c:scaling>
          <c:orientation val="minMax"/>
        </c:scaling>
        <c:delete val="0"/>
        <c:axPos val="b"/>
        <c:numFmt formatCode="General" sourceLinked="1"/>
        <c:majorTickMark val="out"/>
        <c:minorTickMark val="none"/>
        <c:tickLblPos val="nextTo"/>
        <c:txPr>
          <a:bodyPr/>
          <a:lstStyle/>
          <a:p>
            <a:pPr>
              <a:defRPr sz="800"/>
            </a:pPr>
            <a:endParaRPr lang="en-US"/>
          </a:p>
        </c:txPr>
        <c:crossAx val="272657504"/>
        <c:crosses val="autoZero"/>
        <c:auto val="1"/>
        <c:lblAlgn val="ctr"/>
        <c:lblOffset val="100"/>
        <c:noMultiLvlLbl val="0"/>
      </c:catAx>
      <c:valAx>
        <c:axId val="272657504"/>
        <c:scaling>
          <c:orientation val="minMax"/>
        </c:scaling>
        <c:delete val="0"/>
        <c:axPos val="l"/>
        <c:numFmt formatCode="_(&quot;$&quot;* #,##0_);_(&quot;$&quot;* \(#,##0\);_(&quot;$&quot;* &quot;-&quot;??_);_(@_)" sourceLinked="1"/>
        <c:majorTickMark val="out"/>
        <c:minorTickMark val="none"/>
        <c:tickLblPos val="nextTo"/>
        <c:txPr>
          <a:bodyPr/>
          <a:lstStyle/>
          <a:p>
            <a:pPr>
              <a:defRPr sz="800"/>
            </a:pPr>
            <a:endParaRPr lang="en-US"/>
          </a:p>
        </c:txPr>
        <c:crossAx val="27265694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CBA % Difference</a:t>
            </a:r>
          </a:p>
        </c:rich>
      </c:tx>
      <c:overlay val="0"/>
    </c:title>
    <c:autoTitleDeleted val="0"/>
    <c:plotArea>
      <c:layout/>
      <c:barChart>
        <c:barDir val="col"/>
        <c:grouping val="stacked"/>
        <c:varyColors val="0"/>
        <c:ser>
          <c:idx val="1"/>
          <c:order val="0"/>
          <c:tx>
            <c:strRef>
              <c:f>'CBA Calc'!$B$102</c:f>
              <c:strCache>
                <c:ptCount val="1"/>
                <c:pt idx="0">
                  <c:v>% Difference</c:v>
                </c:pt>
              </c:strCache>
            </c:strRef>
          </c:tx>
          <c:invertIfNegative val="0"/>
          <c:cat>
            <c:strRef>
              <c:f>'CBA Calc'!$F$94:$I$94</c:f>
              <c:strCache>
                <c:ptCount val="4"/>
                <c:pt idx="0">
                  <c:v>RIM</c:v>
                </c:pt>
                <c:pt idx="1">
                  <c:v>TRC</c:v>
                </c:pt>
                <c:pt idx="2">
                  <c:v>PAC</c:v>
                </c:pt>
                <c:pt idx="3">
                  <c:v>PCT</c:v>
                </c:pt>
              </c:strCache>
            </c:strRef>
          </c:cat>
          <c:val>
            <c:numRef>
              <c:f>'CBA Calc'!$F$102:$I$102</c:f>
              <c:numCache>
                <c:formatCode>0%</c:formatCode>
                <c:ptCount val="4"/>
                <c:pt idx="0">
                  <c:v>-5.8121805067755501E-2</c:v>
                </c:pt>
                <c:pt idx="1">
                  <c:v>-0.26413789837457802</c:v>
                </c:pt>
                <c:pt idx="2">
                  <c:v>-0.247545304819696</c:v>
                </c:pt>
                <c:pt idx="3">
                  <c:v>-0.419461661723117</c:v>
                </c:pt>
              </c:numCache>
            </c:numRef>
          </c:val>
        </c:ser>
        <c:dLbls>
          <c:showLegendKey val="0"/>
          <c:showVal val="0"/>
          <c:showCatName val="0"/>
          <c:showSerName val="0"/>
          <c:showPercent val="0"/>
          <c:showBubbleSize val="0"/>
        </c:dLbls>
        <c:gapWidth val="150"/>
        <c:overlap val="100"/>
        <c:axId val="272300640"/>
        <c:axId val="272301200"/>
      </c:barChart>
      <c:catAx>
        <c:axId val="272300640"/>
        <c:scaling>
          <c:orientation val="minMax"/>
        </c:scaling>
        <c:delete val="0"/>
        <c:axPos val="b"/>
        <c:numFmt formatCode="General" sourceLinked="1"/>
        <c:majorTickMark val="out"/>
        <c:minorTickMark val="none"/>
        <c:tickLblPos val="nextTo"/>
        <c:txPr>
          <a:bodyPr/>
          <a:lstStyle/>
          <a:p>
            <a:pPr>
              <a:defRPr sz="800"/>
            </a:pPr>
            <a:endParaRPr lang="en-US"/>
          </a:p>
        </c:txPr>
        <c:crossAx val="272301200"/>
        <c:crosses val="autoZero"/>
        <c:auto val="1"/>
        <c:lblAlgn val="ctr"/>
        <c:lblOffset val="100"/>
        <c:noMultiLvlLbl val="0"/>
      </c:catAx>
      <c:valAx>
        <c:axId val="272301200"/>
        <c:scaling>
          <c:orientation val="minMax"/>
        </c:scaling>
        <c:delete val="0"/>
        <c:axPos val="l"/>
        <c:numFmt formatCode="0%" sourceLinked="1"/>
        <c:majorTickMark val="out"/>
        <c:minorTickMark val="none"/>
        <c:tickLblPos val="nextTo"/>
        <c:txPr>
          <a:bodyPr/>
          <a:lstStyle/>
          <a:p>
            <a:pPr>
              <a:defRPr sz="800"/>
            </a:pPr>
            <a:endParaRPr lang="en-US"/>
          </a:p>
        </c:txPr>
        <c:crossAx val="27230064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CBA Result Breakdown</a:t>
            </a:r>
          </a:p>
        </c:rich>
      </c:tx>
      <c:overlay val="0"/>
    </c:title>
    <c:autoTitleDeleted val="0"/>
    <c:plotArea>
      <c:layout/>
      <c:barChart>
        <c:barDir val="col"/>
        <c:grouping val="stacked"/>
        <c:varyColors val="0"/>
        <c:ser>
          <c:idx val="0"/>
          <c:order val="0"/>
          <c:tx>
            <c:strRef>
              <c:f>'CBA Calc'!$C$100</c:f>
              <c:strCache>
                <c:ptCount val="1"/>
                <c:pt idx="0">
                  <c:v>Costs</c:v>
                </c:pt>
              </c:strCache>
            </c:strRef>
          </c:tx>
          <c:spPr>
            <a:solidFill>
              <a:schemeClr val="accent2"/>
            </a:solidFill>
            <a:ln w="25400" cap="flat" cmpd="sng" algn="ctr">
              <a:solidFill>
                <a:schemeClr val="accent2">
                  <a:shade val="50000"/>
                </a:schemeClr>
              </a:solidFill>
              <a:prstDash val="solid"/>
            </a:ln>
            <a:effectLst/>
          </c:spPr>
          <c:invertIfNegative val="0"/>
          <c:cat>
            <c:strRef>
              <c:f>'CBA Calc'!$F$94:$I$94</c:f>
              <c:strCache>
                <c:ptCount val="4"/>
                <c:pt idx="0">
                  <c:v>RIM</c:v>
                </c:pt>
                <c:pt idx="1">
                  <c:v>TRC</c:v>
                </c:pt>
                <c:pt idx="2">
                  <c:v>PAC</c:v>
                </c:pt>
                <c:pt idx="3">
                  <c:v>PCT</c:v>
                </c:pt>
              </c:strCache>
            </c:strRef>
          </c:cat>
          <c:val>
            <c:numRef>
              <c:f>'CBA Calc'!$F$100:$I$100</c:f>
              <c:numCache>
                <c:formatCode>_("$"* #,##0_);_("$"* \(#,##0\);_("$"* "-"??_);_(@_)</c:formatCode>
                <c:ptCount val="4"/>
                <c:pt idx="0">
                  <c:v>-1086.0216977701441</c:v>
                </c:pt>
                <c:pt idx="1">
                  <c:v>-228.66845980728931</c:v>
                </c:pt>
                <c:pt idx="2">
                  <c:v>-208.13489498303741</c:v>
                </c:pt>
                <c:pt idx="3">
                  <c:v>-116.8648930402486</c:v>
                </c:pt>
              </c:numCache>
            </c:numRef>
          </c:val>
        </c:ser>
        <c:ser>
          <c:idx val="1"/>
          <c:order val="1"/>
          <c:tx>
            <c:strRef>
              <c:f>'CBA Calc'!$C$101</c:f>
              <c:strCache>
                <c:ptCount val="1"/>
                <c:pt idx="0">
                  <c:v>Benefits</c:v>
                </c:pt>
              </c:strCache>
            </c:strRef>
          </c:tx>
          <c:spPr>
            <a:solidFill>
              <a:schemeClr val="accent3"/>
            </a:solidFill>
            <a:ln w="25400" cap="flat" cmpd="sng" algn="ctr">
              <a:solidFill>
                <a:schemeClr val="accent3">
                  <a:shade val="50000"/>
                </a:schemeClr>
              </a:solidFill>
              <a:prstDash val="solid"/>
            </a:ln>
            <a:effectLst/>
          </c:spPr>
          <c:invertIfNegative val="0"/>
          <c:cat>
            <c:strRef>
              <c:f>'CBA Calc'!$F$94:$I$94</c:f>
              <c:strCache>
                <c:ptCount val="4"/>
                <c:pt idx="0">
                  <c:v>RIM</c:v>
                </c:pt>
                <c:pt idx="1">
                  <c:v>TRC</c:v>
                </c:pt>
                <c:pt idx="2">
                  <c:v>PAC</c:v>
                </c:pt>
                <c:pt idx="3">
                  <c:v>PCT</c:v>
                </c:pt>
              </c:strCache>
            </c:strRef>
          </c:cat>
          <c:val>
            <c:numRef>
              <c:f>'CBA Calc'!$F$101:$I$101</c:f>
              <c:numCache>
                <c:formatCode>_("$"* #,##0_);_("$"* \(#,##0\);_("$"* "-"??_);_(@_)</c:formatCode>
                <c:ptCount val="4"/>
                <c:pt idx="0">
                  <c:v>550.75113778984053</c:v>
                </c:pt>
                <c:pt idx="1">
                  <c:v>550.75113778984053</c:v>
                </c:pt>
                <c:pt idx="2">
                  <c:v>550.75113778984053</c:v>
                </c:pt>
                <c:pt idx="3">
                  <c:v>974.21813100310362</c:v>
                </c:pt>
              </c:numCache>
            </c:numRef>
          </c:val>
        </c:ser>
        <c:dLbls>
          <c:showLegendKey val="0"/>
          <c:showVal val="0"/>
          <c:showCatName val="0"/>
          <c:showSerName val="0"/>
          <c:showPercent val="0"/>
          <c:showBubbleSize val="0"/>
        </c:dLbls>
        <c:gapWidth val="150"/>
        <c:overlap val="100"/>
        <c:axId val="270040352"/>
        <c:axId val="270040912"/>
      </c:barChart>
      <c:catAx>
        <c:axId val="270040352"/>
        <c:scaling>
          <c:orientation val="minMax"/>
        </c:scaling>
        <c:delete val="0"/>
        <c:axPos val="b"/>
        <c:numFmt formatCode="General" sourceLinked="1"/>
        <c:majorTickMark val="out"/>
        <c:minorTickMark val="none"/>
        <c:tickLblPos val="nextTo"/>
        <c:txPr>
          <a:bodyPr/>
          <a:lstStyle/>
          <a:p>
            <a:pPr>
              <a:defRPr sz="800"/>
            </a:pPr>
            <a:endParaRPr lang="en-US"/>
          </a:p>
        </c:txPr>
        <c:crossAx val="270040912"/>
        <c:crosses val="autoZero"/>
        <c:auto val="1"/>
        <c:lblAlgn val="ctr"/>
        <c:lblOffset val="100"/>
        <c:noMultiLvlLbl val="0"/>
      </c:catAx>
      <c:valAx>
        <c:axId val="270040912"/>
        <c:scaling>
          <c:orientation val="minMax"/>
        </c:scaling>
        <c:delete val="0"/>
        <c:axPos val="l"/>
        <c:numFmt formatCode="_(&quot;$&quot;* #,##0_);_(&quot;$&quot;* \(#,##0\);_(&quot;$&quot;* &quot;-&quot;??_);_(@_)" sourceLinked="1"/>
        <c:majorTickMark val="out"/>
        <c:minorTickMark val="none"/>
        <c:tickLblPos val="nextTo"/>
        <c:txPr>
          <a:bodyPr/>
          <a:lstStyle/>
          <a:p>
            <a:pPr>
              <a:defRPr sz="800"/>
            </a:pPr>
            <a:endParaRPr lang="en-US"/>
          </a:p>
        </c:txPr>
        <c:crossAx val="27004035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Rate Impacts</a:t>
            </a:r>
            <a:r>
              <a:rPr lang="en-US" sz="1000" baseline="0"/>
              <a:t> Breakdown</a:t>
            </a:r>
            <a:endParaRPr lang="en-US" sz="1000"/>
          </a:p>
        </c:rich>
      </c:tx>
      <c:overlay val="0"/>
    </c:title>
    <c:autoTitleDeleted val="0"/>
    <c:plotArea>
      <c:layout>
        <c:manualLayout>
          <c:layoutTarget val="inner"/>
          <c:xMode val="edge"/>
          <c:yMode val="edge"/>
          <c:x val="0.122988407699038"/>
          <c:y val="0.211111111111111"/>
          <c:w val="0.63534492563429601"/>
          <c:h val="0.65067913385826803"/>
        </c:manualLayout>
      </c:layout>
      <c:barChart>
        <c:barDir val="col"/>
        <c:grouping val="stacked"/>
        <c:varyColors val="0"/>
        <c:ser>
          <c:idx val="0"/>
          <c:order val="0"/>
          <c:tx>
            <c:strRef>
              <c:f>'Customer Calc'!$BP$25</c:f>
              <c:strCache>
                <c:ptCount val="1"/>
                <c:pt idx="0">
                  <c:v>EE Program Cost Recovery</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Calc'!$BR$25:$CQ$25</c:f>
              <c:numCache>
                <c:formatCode>0.00%</c:formatCode>
                <c:ptCount val="26"/>
                <c:pt idx="0">
                  <c:v>0</c:v>
                </c:pt>
                <c:pt idx="1">
                  <c:v>4.6332950531206103E-3</c:v>
                </c:pt>
                <c:pt idx="2">
                  <c:v>4.5632673853129198E-3</c:v>
                </c:pt>
                <c:pt idx="3">
                  <c:v>4.4901107747776503E-3</c:v>
                </c:pt>
                <c:pt idx="4">
                  <c:v>4.4141597086451304E-3</c:v>
                </c:pt>
                <c:pt idx="5">
                  <c:v>4.3357535606311998E-3</c:v>
                </c:pt>
                <c:pt idx="6">
                  <c:v>4.2552334463937897E-3</c:v>
                </c:pt>
                <c:pt idx="7">
                  <c:v>4.1729392586474503E-3</c:v>
                </c:pt>
                <c:pt idx="8">
                  <c:v>4.0892069264902003E-3</c:v>
                </c:pt>
                <c:pt idx="9">
                  <c:v>4.0043659347672603E-3</c:v>
                </c:pt>
                <c:pt idx="10">
                  <c:v>3.9187371304824099E-3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ser>
          <c:idx val="1"/>
          <c:order val="1"/>
          <c:tx>
            <c:strRef>
              <c:f>'Customer Calc'!$BP$26</c:f>
              <c:strCache>
                <c:ptCount val="1"/>
                <c:pt idx="0">
                  <c:v>Lost Fixed Cost Recovery</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Calc'!$BR$26:$CQ$26</c:f>
              <c:numCache>
                <c:formatCode>0.00%</c:formatCode>
                <c:ptCount val="26"/>
                <c:pt idx="0">
                  <c:v>0</c:v>
                </c:pt>
                <c:pt idx="1">
                  <c:v>1.5222549759703701E-3</c:v>
                </c:pt>
                <c:pt idx="2">
                  <c:v>3.0129063024781498E-3</c:v>
                </c:pt>
                <c:pt idx="3">
                  <c:v>4.4730541309942603E-3</c:v>
                </c:pt>
                <c:pt idx="4">
                  <c:v>5.9040973722319298E-3</c:v>
                </c:pt>
                <c:pt idx="5">
                  <c:v>7.3077301673768798E-3</c:v>
                </c:pt>
                <c:pt idx="6">
                  <c:v>8.6859371158554306E-3</c:v>
                </c:pt>
                <c:pt idx="7">
                  <c:v>1.00409877677971E-2</c:v>
                </c:pt>
                <c:pt idx="8">
                  <c:v>1.1375430922886899E-2</c:v>
                </c:pt>
                <c:pt idx="9">
                  <c:v>1.26920893012515E-2</c:v>
                </c:pt>
                <c:pt idx="10">
                  <c:v>1.39940551685847E-2</c:v>
                </c:pt>
                <c:pt idx="11">
                  <c:v>1.35909245266387E-2</c:v>
                </c:pt>
                <c:pt idx="12">
                  <c:v>1.31994016135505E-2</c:v>
                </c:pt>
                <c:pt idx="13">
                  <c:v>1.2819660188571599E-2</c:v>
                </c:pt>
                <c:pt idx="14">
                  <c:v>1.24518092591162E-2</c:v>
                </c:pt>
                <c:pt idx="15">
                  <c:v>1.2095897178489899E-2</c:v>
                </c:pt>
                <c:pt idx="16">
                  <c:v>1.17519160696965E-2</c:v>
                </c:pt>
                <c:pt idx="17">
                  <c:v>1.1419806470421699E-2</c:v>
                </c:pt>
                <c:pt idx="18">
                  <c:v>1.10994621025081E-2</c:v>
                </c:pt>
                <c:pt idx="19">
                  <c:v>1.07907346788531E-2</c:v>
                </c:pt>
                <c:pt idx="20">
                  <c:v>1.0493438671157099E-2</c:v>
                </c:pt>
                <c:pt idx="21">
                  <c:v>1.0207355972847399E-2</c:v>
                </c:pt>
                <c:pt idx="22">
                  <c:v>9.9322404024112607E-3</c:v>
                </c:pt>
                <c:pt idx="23">
                  <c:v>9.6678220029409907E-3</c:v>
                </c:pt>
                <c:pt idx="24">
                  <c:v>9.4138111036875805E-3</c:v>
                </c:pt>
                <c:pt idx="25">
                  <c:v>9.16990211862472E-3</c:v>
                </c:pt>
              </c:numCache>
            </c:numRef>
          </c:val>
        </c:ser>
        <c:ser>
          <c:idx val="2"/>
          <c:order val="2"/>
          <c:tx>
            <c:strRef>
              <c:f>'Customer Calc'!$BP$27</c:f>
              <c:strCache>
                <c:ptCount val="1"/>
                <c:pt idx="0">
                  <c:v>Use-Shift</c:v>
                </c:pt>
              </c:strCache>
            </c:strRef>
          </c:tx>
          <c:invertIfNegative val="0"/>
          <c:cat>
            <c:numRef>
              <c:f>'Customer Calc'!$G$6:$AF$6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Calc'!$BR$27:$CQ$27</c:f>
              <c:numCache>
                <c:formatCode>0.00%</c:formatCode>
                <c:ptCount val="26"/>
                <c:pt idx="0">
                  <c:v>0</c:v>
                </c:pt>
                <c:pt idx="1">
                  <c:v>-2.6172909809040602E-3</c:v>
                </c:pt>
                <c:pt idx="2">
                  <c:v>-2.82103930336647E-3</c:v>
                </c:pt>
                <c:pt idx="3">
                  <c:v>-3.0387564362462701E-3</c:v>
                </c:pt>
                <c:pt idx="4">
                  <c:v>-3.2713727667622798E-3</c:v>
                </c:pt>
                <c:pt idx="5">
                  <c:v>-3.5199008888913098E-3</c:v>
                </c:pt>
                <c:pt idx="6">
                  <c:v>-3.7854459809641798E-3</c:v>
                </c:pt>
                <c:pt idx="7">
                  <c:v>-4.0692175943354298E-3</c:v>
                </c:pt>
                <c:pt idx="8">
                  <c:v>-4.3725430749677798E-3</c:v>
                </c:pt>
                <c:pt idx="9">
                  <c:v>-4.69688288661004E-3</c:v>
                </c:pt>
                <c:pt idx="10">
                  <c:v>-5.0438481619235701E-3</c:v>
                </c:pt>
                <c:pt idx="11">
                  <c:v>-1.2521665786339299E-3</c:v>
                </c:pt>
                <c:pt idx="12">
                  <c:v>-1.27440456607921E-3</c:v>
                </c:pt>
                <c:pt idx="13">
                  <c:v>-1.29597306310738E-3</c:v>
                </c:pt>
                <c:pt idx="14">
                  <c:v>-1.31686590216774E-3</c:v>
                </c:pt>
                <c:pt idx="15">
                  <c:v>-1.3370803598489001E-3</c:v>
                </c:pt>
                <c:pt idx="16">
                  <c:v>-1.3566169055381099E-3</c:v>
                </c:pt>
                <c:pt idx="17">
                  <c:v>-1.3754789375354699E-3</c:v>
                </c:pt>
                <c:pt idx="18">
                  <c:v>-1.3936725121162299E-3</c:v>
                </c:pt>
                <c:pt idx="19">
                  <c:v>-1.4112060704870801E-3</c:v>
                </c:pt>
                <c:pt idx="20">
                  <c:v>-1.4280901679789399E-3</c:v>
                </c:pt>
                <c:pt idx="21">
                  <c:v>-1.44433720920853E-3</c:v>
                </c:pt>
                <c:pt idx="22">
                  <c:v>-1.4599611923157699E-3</c:v>
                </c:pt>
                <c:pt idx="23">
                  <c:v>-1.4749774647869001E-3</c:v>
                </c:pt>
                <c:pt idx="24">
                  <c:v>-1.4894024927993999E-3</c:v>
                </c:pt>
                <c:pt idx="25">
                  <c:v>-1.50325364551584E-3</c:v>
                </c:pt>
              </c:numCache>
            </c:numRef>
          </c:val>
        </c:ser>
        <c:ser>
          <c:idx val="3"/>
          <c:order val="3"/>
          <c:tx>
            <c:strRef>
              <c:f>'Customer Calc'!$BP$28</c:f>
              <c:strCache>
                <c:ptCount val="1"/>
                <c:pt idx="0">
                  <c:v>Incentive Recovery</c:v>
                </c:pt>
              </c:strCache>
            </c:strRef>
          </c:tx>
          <c:invertIfNegative val="0"/>
          <c:val>
            <c:numRef>
              <c:f>'Customer Calc'!$BR$28:$CQ$28</c:f>
              <c:numCache>
                <c:formatCode>0.00%</c:formatCode>
                <c:ptCount val="26"/>
                <c:pt idx="0">
                  <c:v>0</c:v>
                </c:pt>
                <c:pt idx="1">
                  <c:v>1.82495183412319E-3</c:v>
                </c:pt>
                <c:pt idx="2">
                  <c:v>1.7948498021682401E-3</c:v>
                </c:pt>
                <c:pt idx="3">
                  <c:v>1.7645792485223E-3</c:v>
                </c:pt>
                <c:pt idx="4">
                  <c:v>1.7342245952497999E-3</c:v>
                </c:pt>
                <c:pt idx="5">
                  <c:v>1.70386887840459E-3</c:v>
                </c:pt>
                <c:pt idx="6">
                  <c:v>1.6735932089391699E-3</c:v>
                </c:pt>
                <c:pt idx="7">
                  <c:v>1.64347630472039E-3</c:v>
                </c:pt>
                <c:pt idx="8">
                  <c:v>1.6135940991379499E-3</c:v>
                </c:pt>
                <c:pt idx="9">
                  <c:v>1.58401942981982E-3</c:v>
                </c:pt>
                <c:pt idx="10">
                  <c:v>1.5548218091393799E-3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dLbls>
        <c:gapWidth val="150"/>
        <c:overlap val="100"/>
        <c:axId val="271320208"/>
        <c:axId val="271320768"/>
      </c:barChart>
      <c:catAx>
        <c:axId val="27132020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a:lstStyle/>
          <a:p>
            <a:pPr>
              <a:defRPr sz="800"/>
            </a:pPr>
            <a:endParaRPr lang="en-US"/>
          </a:p>
        </c:txPr>
        <c:crossAx val="271320768"/>
        <c:crosses val="autoZero"/>
        <c:auto val="1"/>
        <c:lblAlgn val="ctr"/>
        <c:lblOffset val="100"/>
        <c:noMultiLvlLbl val="0"/>
      </c:catAx>
      <c:valAx>
        <c:axId val="271320768"/>
        <c:scaling>
          <c:orientation val="minMax"/>
        </c:scaling>
        <c:delete val="0"/>
        <c:axPos val="l"/>
        <c:numFmt formatCode="0.0%" sourceLinked="0"/>
        <c:majorTickMark val="out"/>
        <c:minorTickMark val="none"/>
        <c:tickLblPos val="nextTo"/>
        <c:txPr>
          <a:bodyPr/>
          <a:lstStyle/>
          <a:p>
            <a:pPr>
              <a:defRPr sz="800"/>
            </a:pPr>
            <a:endParaRPr lang="en-US"/>
          </a:p>
        </c:txPr>
        <c:crossAx val="271320208"/>
        <c:crosses val="autoZero"/>
        <c:crossBetween val="between"/>
      </c:valAx>
    </c:plotArea>
    <c:legend>
      <c:legendPos val="r"/>
      <c:layout>
        <c:manualLayout>
          <c:xMode val="edge"/>
          <c:yMode val="edge"/>
          <c:x val="0.77512311194636396"/>
          <c:y val="7.8939594229553406E-2"/>
          <c:w val="0.22487688805363601"/>
          <c:h val="0.85345364676130797"/>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Rate Comparison</a:t>
            </a:r>
          </a:p>
        </c:rich>
      </c:tx>
      <c:overlay val="0"/>
    </c:title>
    <c:autoTitleDeleted val="0"/>
    <c:plotArea>
      <c:layout/>
      <c:barChart>
        <c:barDir val="col"/>
        <c:grouping val="clustered"/>
        <c:varyColors val="0"/>
        <c:ser>
          <c:idx val="0"/>
          <c:order val="0"/>
          <c:tx>
            <c:v>Base Case</c:v>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Calc'!$BR$15:$CQ$15</c:f>
              <c:numCache>
                <c:formatCode>_("$"* #,##0.00_);_("$"* \(#,##0.00\);_("$"* "-"??_);_(@_)</c:formatCode>
                <c:ptCount val="26"/>
                <c:pt idx="0">
                  <c:v>8.0266867776096498E-2</c:v>
                </c:pt>
                <c:pt idx="1">
                  <c:v>8.3886717474386502E-2</c:v>
                </c:pt>
                <c:pt idx="2">
                  <c:v>8.6966819349808794E-2</c:v>
                </c:pt>
                <c:pt idx="3">
                  <c:v>9.0260561268937098E-2</c:v>
                </c:pt>
                <c:pt idx="4">
                  <c:v>9.3781396198101705E-2</c:v>
                </c:pt>
                <c:pt idx="5">
                  <c:v>9.7543656980154006E-2</c:v>
                </c:pt>
                <c:pt idx="6">
                  <c:v>0.101562615833148</c:v>
                </c:pt>
                <c:pt idx="7">
                  <c:v>0.105854548172608</c:v>
                </c:pt>
                <c:pt idx="8">
                  <c:v>0.110436801121263</c:v>
                </c:pt>
                <c:pt idx="9">
                  <c:v>0.115327867109775</c:v>
                </c:pt>
                <c:pt idx="10">
                  <c:v>0.120547463017627</c:v>
                </c:pt>
                <c:pt idx="11">
                  <c:v>0.126035382865998</c:v>
                </c:pt>
                <c:pt idx="12">
                  <c:v>0.13188544889398801</c:v>
                </c:pt>
                <c:pt idx="13">
                  <c:v>0.13812040199990999</c:v>
                </c:pt>
                <c:pt idx="14">
                  <c:v>0.144764429676117</c:v>
                </c:pt>
                <c:pt idx="15">
                  <c:v>0.151843258316846</c:v>
                </c:pt>
                <c:pt idx="16">
                  <c:v>0.15938425143372101</c:v>
                </c:pt>
                <c:pt idx="17">
                  <c:v>0.16741651415782899</c:v>
                </c:pt>
                <c:pt idx="18">
                  <c:v>0.175971004431727</c:v>
                </c:pt>
                <c:pt idx="19">
                  <c:v>0.185080651320644</c:v>
                </c:pt>
                <c:pt idx="20">
                  <c:v>0.19478048089979599</c:v>
                </c:pt>
                <c:pt idx="21">
                  <c:v>0.205107750204155</c:v>
                </c:pt>
                <c:pt idx="22">
                  <c:v>0.216102089758309</c:v>
                </c:pt>
                <c:pt idx="23">
                  <c:v>0.22780565523740101</c:v>
                </c:pt>
                <c:pt idx="24">
                  <c:v>0.240263288845627</c:v>
                </c:pt>
                <c:pt idx="25">
                  <c:v>0.25352269103653202</c:v>
                </c:pt>
              </c:numCache>
            </c:numRef>
          </c:val>
        </c:ser>
        <c:ser>
          <c:idx val="1"/>
          <c:order val="1"/>
          <c:tx>
            <c:v>w/ EE</c:v>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Calc'!$BR$16:$CQ$16</c:f>
              <c:numCache>
                <c:formatCode>_("$"* #,##0.00_);_("$"* \(#,##0.00\);_("$"* "-"??_);_(@_)</c:formatCode>
                <c:ptCount val="26"/>
                <c:pt idx="0">
                  <c:v>8.0266867776096498E-2</c:v>
                </c:pt>
                <c:pt idx="1">
                  <c:v>8.4336619630426296E-2</c:v>
                </c:pt>
                <c:pt idx="2">
                  <c:v>8.7536450641308397E-2</c:v>
                </c:pt>
                <c:pt idx="3">
                  <c:v>9.0954573615958004E-2</c:v>
                </c:pt>
                <c:pt idx="4">
                  <c:v>9.4604900851789506E-2</c:v>
                </c:pt>
                <c:pt idx="5">
                  <c:v>9.8502262559476902E-2</c:v>
                </c:pt>
                <c:pt idx="6">
                  <c:v>0.102662469675612</c:v>
                </c:pt>
                <c:pt idx="7">
                  <c:v>0.107102381247555</c:v>
                </c:pt>
                <c:pt idx="8">
                  <c:v>0.111839976756499</c:v>
                </c:pt>
                <c:pt idx="9">
                  <c:v>0.116894433777363</c:v>
                </c:pt>
                <c:pt idx="10">
                  <c:v>0.122286211409612</c:v>
                </c:pt>
                <c:pt idx="11">
                  <c:v>0.12759050294806601</c:v>
                </c:pt>
                <c:pt idx="12">
                  <c:v>0.13345818248265301</c:v>
                </c:pt>
                <c:pt idx="13">
                  <c:v>0.13971205829819999</c:v>
                </c:pt>
                <c:pt idx="14">
                  <c:v>0.14637637340066101</c:v>
                </c:pt>
                <c:pt idx="15">
                  <c:v>0.15347691211822301</c:v>
                </c:pt>
                <c:pt idx="16">
                  <c:v>0.16104109840943001</c:v>
                </c:pt>
                <c:pt idx="17">
                  <c:v>0.16909810046044399</c:v>
                </c:pt>
                <c:pt idx="18">
                  <c:v>0.17767894197475101</c:v>
                </c:pt>
                <c:pt idx="19">
                  <c:v>0.186816620584561</c:v>
                </c:pt>
                <c:pt idx="20">
                  <c:v>0.196546233840769</c:v>
                </c:pt>
                <c:pt idx="21">
                  <c:v>0.20690511326776201</c:v>
                </c:pt>
                <c:pt idx="22">
                  <c:v>0.217932967000627</c:v>
                </c:pt>
                <c:pt idx="23">
                  <c:v>0.22967203155567401</c:v>
                </c:pt>
                <c:pt idx="24">
                  <c:v>0.242167233320635</c:v>
                </c:pt>
                <c:pt idx="25">
                  <c:v>0.25546636038866599</c:v>
                </c:pt>
              </c:numCache>
            </c:numRef>
          </c:val>
        </c:ser>
        <c:dLbls>
          <c:showLegendKey val="0"/>
          <c:showVal val="0"/>
          <c:showCatName val="0"/>
          <c:showSerName val="0"/>
          <c:showPercent val="0"/>
          <c:showBubbleSize val="0"/>
        </c:dLbls>
        <c:gapWidth val="150"/>
        <c:axId val="271323568"/>
        <c:axId val="271774720"/>
      </c:barChart>
      <c:catAx>
        <c:axId val="271323568"/>
        <c:scaling>
          <c:orientation val="minMax"/>
        </c:scaling>
        <c:delete val="0"/>
        <c:axPos val="b"/>
        <c:numFmt formatCode="General" sourceLinked="1"/>
        <c:majorTickMark val="out"/>
        <c:minorTickMark val="none"/>
        <c:tickLblPos val="nextTo"/>
        <c:txPr>
          <a:bodyPr/>
          <a:lstStyle/>
          <a:p>
            <a:pPr>
              <a:defRPr sz="800"/>
            </a:pPr>
            <a:endParaRPr lang="en-US"/>
          </a:p>
        </c:txPr>
        <c:crossAx val="271774720"/>
        <c:crosses val="autoZero"/>
        <c:auto val="1"/>
        <c:lblAlgn val="ctr"/>
        <c:lblOffset val="100"/>
        <c:noMultiLvlLbl val="0"/>
      </c:catAx>
      <c:valAx>
        <c:axId val="271774720"/>
        <c:scaling>
          <c:orientation val="minMax"/>
        </c:scaling>
        <c:delete val="0"/>
        <c:axPos val="l"/>
        <c:numFmt formatCode="_(&quot;$&quot;* #,##0.00_);_(&quot;$&quot;* \(#,##0.00\);_(&quot;$&quot;* &quot;-&quot;??_);_(@_)" sourceLinked="1"/>
        <c:majorTickMark val="out"/>
        <c:minorTickMark val="none"/>
        <c:tickLblPos val="nextTo"/>
        <c:txPr>
          <a:bodyPr/>
          <a:lstStyle/>
          <a:p>
            <a:pPr>
              <a:defRPr sz="800"/>
            </a:pPr>
            <a:endParaRPr lang="en-US"/>
          </a:p>
        </c:txPr>
        <c:crossAx val="271323568"/>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Rate Breakdown</a:t>
            </a:r>
          </a:p>
        </c:rich>
      </c:tx>
      <c:overlay val="0"/>
    </c:title>
    <c:autoTitleDeleted val="0"/>
    <c:plotArea>
      <c:layout>
        <c:manualLayout>
          <c:layoutTarget val="inner"/>
          <c:xMode val="edge"/>
          <c:yMode val="edge"/>
          <c:x val="0.13166338582677201"/>
          <c:y val="0.211111111111111"/>
          <c:w val="0.58272047244094505"/>
          <c:h val="0.72870370370370396"/>
        </c:manualLayout>
      </c:layout>
      <c:barChart>
        <c:barDir val="col"/>
        <c:grouping val="stacked"/>
        <c:varyColors val="0"/>
        <c:ser>
          <c:idx val="0"/>
          <c:order val="0"/>
          <c:tx>
            <c:strRef>
              <c:f>'Customer Calc'!$BO$18</c:f>
              <c:strCache>
                <c:ptCount val="1"/>
                <c:pt idx="0">
                  <c:v>Variable Rate</c:v>
                </c:pt>
              </c:strCache>
            </c:strRef>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Calc'!$BR$18:$CQ$18</c:f>
              <c:numCache>
                <c:formatCode>_("$"* #,##0.00_);_("$"* \(#,##0.00\);_("$"* "-"??_);_(@_)</c:formatCode>
                <c:ptCount val="26"/>
                <c:pt idx="0">
                  <c:v>3.9E-2</c:v>
                </c:pt>
                <c:pt idx="1">
                  <c:v>4.1535000000000002E-2</c:v>
                </c:pt>
                <c:pt idx="2">
                  <c:v>4.4234774999999997E-2</c:v>
                </c:pt>
                <c:pt idx="3">
                  <c:v>4.7110035374999998E-2</c:v>
                </c:pt>
                <c:pt idx="4">
                  <c:v>5.0172187674375E-2</c:v>
                </c:pt>
                <c:pt idx="5">
                  <c:v>5.34333798732093E-2</c:v>
                </c:pt>
                <c:pt idx="6">
                  <c:v>5.69065495649679E-2</c:v>
                </c:pt>
                <c:pt idx="7">
                  <c:v>6.0605475286690899E-2</c:v>
                </c:pt>
                <c:pt idx="8">
                  <c:v>6.4544831180325807E-2</c:v>
                </c:pt>
                <c:pt idx="9">
                  <c:v>6.8740245207046899E-2</c:v>
                </c:pt>
                <c:pt idx="10">
                  <c:v>7.3208361145504997E-2</c:v>
                </c:pt>
                <c:pt idx="11">
                  <c:v>7.7966904619962807E-2</c:v>
                </c:pt>
                <c:pt idx="12">
                  <c:v>8.3034753420260399E-2</c:v>
                </c:pt>
                <c:pt idx="13">
                  <c:v>8.8432012392577294E-2</c:v>
                </c:pt>
                <c:pt idx="14">
                  <c:v>9.4180093198094797E-2</c:v>
                </c:pt>
                <c:pt idx="15">
                  <c:v>0.10030179925597101</c:v>
                </c:pt>
                <c:pt idx="16">
                  <c:v>0.106821416207609</c:v>
                </c:pt>
                <c:pt idx="17">
                  <c:v>0.11376480826110399</c:v>
                </c:pt>
                <c:pt idx="18">
                  <c:v>0.121159520798075</c:v>
                </c:pt>
                <c:pt idx="19">
                  <c:v>0.12903488964995</c:v>
                </c:pt>
                <c:pt idx="20">
                  <c:v>0.13742215747719699</c:v>
                </c:pt>
                <c:pt idx="21">
                  <c:v>0.14635459771321499</c:v>
                </c:pt>
                <c:pt idx="22">
                  <c:v>0.155867646564574</c:v>
                </c:pt>
                <c:pt idx="23">
                  <c:v>0.16599904359127099</c:v>
                </c:pt>
                <c:pt idx="24">
                  <c:v>0.17678898142470401</c:v>
                </c:pt>
                <c:pt idx="25">
                  <c:v>0.18828026521730901</c:v>
                </c:pt>
              </c:numCache>
            </c:numRef>
          </c:val>
        </c:ser>
        <c:ser>
          <c:idx val="1"/>
          <c:order val="1"/>
          <c:tx>
            <c:strRef>
              <c:f>'Customer Calc'!$BO$19</c:f>
              <c:strCache>
                <c:ptCount val="1"/>
                <c:pt idx="0">
                  <c:v>Fixed Rate</c:v>
                </c:pt>
              </c:strCache>
            </c:strRef>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Calc'!$BR$19:$CQ$19</c:f>
              <c:numCache>
                <c:formatCode>_("$"* #,##0.00_);_("$"* \(#,##0.00\);_("$"* "-"??_);_(@_)</c:formatCode>
                <c:ptCount val="26"/>
                <c:pt idx="0">
                  <c:v>4.1266867776096498E-2</c:v>
                </c:pt>
                <c:pt idx="1">
                  <c:v>4.2351717474386499E-2</c:v>
                </c:pt>
                <c:pt idx="2">
                  <c:v>4.2732044349808797E-2</c:v>
                </c:pt>
                <c:pt idx="3">
                  <c:v>4.31505258939371E-2</c:v>
                </c:pt>
                <c:pt idx="4">
                  <c:v>4.3609208523726697E-2</c:v>
                </c:pt>
                <c:pt idx="5">
                  <c:v>4.4110277106944602E-2</c:v>
                </c:pt>
                <c:pt idx="6">
                  <c:v>4.4656066268180097E-2</c:v>
                </c:pt>
                <c:pt idx="7">
                  <c:v>4.5249072885917299E-2</c:v>
                </c:pt>
                <c:pt idx="8">
                  <c:v>4.5891969940936903E-2</c:v>
                </c:pt>
                <c:pt idx="9">
                  <c:v>4.6587621902727902E-2</c:v>
                </c:pt>
                <c:pt idx="10">
                  <c:v>4.7339101872122299E-2</c:v>
                </c:pt>
                <c:pt idx="11">
                  <c:v>4.8068478246035599E-2</c:v>
                </c:pt>
                <c:pt idx="12">
                  <c:v>4.8850695473727203E-2</c:v>
                </c:pt>
                <c:pt idx="13">
                  <c:v>4.9688389607332697E-2</c:v>
                </c:pt>
                <c:pt idx="14">
                  <c:v>5.0584336478021803E-2</c:v>
                </c:pt>
                <c:pt idx="15">
                  <c:v>5.15414590608754E-2</c:v>
                </c:pt>
                <c:pt idx="16">
                  <c:v>5.2562835226111798E-2</c:v>
                </c:pt>
                <c:pt idx="17">
                  <c:v>5.3651705896724897E-2</c:v>
                </c:pt>
                <c:pt idx="18">
                  <c:v>5.4811483633651403E-2</c:v>
                </c:pt>
                <c:pt idx="19">
                  <c:v>5.6045761670693299E-2</c:v>
                </c:pt>
                <c:pt idx="20">
                  <c:v>5.7358323422598799E-2</c:v>
                </c:pt>
                <c:pt idx="21">
                  <c:v>5.87531524909405E-2</c:v>
                </c:pt>
                <c:pt idx="22">
                  <c:v>6.0234443193735498E-2</c:v>
                </c:pt>
                <c:pt idx="23">
                  <c:v>6.1806611646130299E-2</c:v>
                </c:pt>
                <c:pt idx="24">
                  <c:v>6.3474307420923096E-2</c:v>
                </c:pt>
                <c:pt idx="25">
                  <c:v>6.5242425819222905E-2</c:v>
                </c:pt>
              </c:numCache>
            </c:numRef>
          </c:val>
        </c:ser>
        <c:ser>
          <c:idx val="2"/>
          <c:order val="2"/>
          <c:tx>
            <c:strRef>
              <c:f>'Customer Calc'!$BO$20</c:f>
              <c:strCache>
                <c:ptCount val="1"/>
                <c:pt idx="0">
                  <c:v>Program Cost Recovery</c:v>
                </c:pt>
              </c:strCache>
            </c:strRef>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Calc'!$BR$20:$CQ$20</c:f>
              <c:numCache>
                <c:formatCode>_("$"* #,##0.0000_);_("$"* \(#,##0.0000\);_("$"* "-"??_);_(@_)</c:formatCode>
                <c:ptCount val="26"/>
                <c:pt idx="0" formatCode="_(&quot;$&quot;* #,##0.00_);_(&quot;$&quot;* \(#,##0.00\);_(&quot;$&quot;* &quot;-&quot;??_);_(@_)">
                  <c:v>0</c:v>
                </c:pt>
                <c:pt idx="1">
                  <c:v>3.8867191309660098E-4</c:v>
                </c:pt>
                <c:pt idx="2">
                  <c:v>3.96852850343383E-4</c:v>
                </c:pt>
                <c:pt idx="3">
                  <c:v>4.0527991869113199E-4</c:v>
                </c:pt>
                <c:pt idx="4">
                  <c:v>4.1396606051814598E-4</c:v>
                </c:pt>
                <c:pt idx="5">
                  <c:v>4.2292525806869098E-4</c:v>
                </c:pt>
                <c:pt idx="6">
                  <c:v>4.32172639796455E-4</c:v>
                </c:pt>
                <c:pt idx="7">
                  <c:v>4.4172459977586401E-4</c:v>
                </c:pt>
                <c:pt idx="8">
                  <c:v>4.5159893208448798E-4</c:v>
                </c:pt>
                <c:pt idx="9">
                  <c:v>4.6181498238374798E-4</c:v>
                </c:pt>
                <c:pt idx="10">
                  <c:v>4.7239381931263102E-4</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ser>
          <c:idx val="3"/>
          <c:order val="3"/>
          <c:tx>
            <c:strRef>
              <c:f>'Customer Calc'!$BO$21</c:f>
              <c:strCache>
                <c:ptCount val="1"/>
                <c:pt idx="0">
                  <c:v>Fixed Cost Rate Recovery</c:v>
                </c:pt>
              </c:strCache>
            </c:strRef>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Calc'!$BR$21:$CQ$21</c:f>
              <c:numCache>
                <c:formatCode>_("$"* #,##0.0000_);_("$"* \(#,##0.0000\);_("$"* "-"??_);_(@_)</c:formatCode>
                <c:ptCount val="26"/>
                <c:pt idx="0">
                  <c:v>0</c:v>
                </c:pt>
                <c:pt idx="1">
                  <c:v>1.2769697309320501E-4</c:v>
                </c:pt>
                <c:pt idx="2">
                  <c:v>2.6202287812551799E-4</c:v>
                </c:pt>
                <c:pt idx="3">
                  <c:v>4.0374037644987998E-4</c:v>
                </c:pt>
                <c:pt idx="4">
                  <c:v>5.5369449485745403E-4</c:v>
                </c:pt>
                <c:pt idx="5">
                  <c:v>7.1282272475013295E-4</c:v>
                </c:pt>
                <c:pt idx="6">
                  <c:v>8.8216649444850599E-4</c:v>
                </c:pt>
                <c:pt idx="7">
                  <c:v>1.06288422336685E-3</c:v>
                </c:pt>
                <c:pt idx="8">
                  <c:v>1.25626620249953E-3</c:v>
                </c:pt>
                <c:pt idx="9">
                  <c:v>1.46375158828013E-3</c:v>
                </c:pt>
                <c:pt idx="10">
                  <c:v>1.6869478479016101E-3</c:v>
                </c:pt>
                <c:pt idx="11">
                  <c:v>1.7129373762178001E-3</c:v>
                </c:pt>
                <c:pt idx="12">
                  <c:v>1.74080900693514E-3</c:v>
                </c:pt>
                <c:pt idx="13">
                  <c:v>1.7706566187477501E-3</c:v>
                </c:pt>
                <c:pt idx="14">
                  <c:v>1.8025790658317399E-3</c:v>
                </c:pt>
                <c:pt idx="15">
                  <c:v>1.8366804398474599E-3</c:v>
                </c:pt>
                <c:pt idx="16">
                  <c:v>1.87307034568049E-3</c:v>
                </c:pt>
                <c:pt idx="17">
                  <c:v>1.91186419163501E-3</c:v>
                </c:pt>
                <c:pt idx="18">
                  <c:v>1.95318349483023E-3</c:v>
                </c:pt>
                <c:pt idx="19">
                  <c:v>1.9971562025904001E-3</c:v>
                </c:pt>
                <c:pt idx="20">
                  <c:v>2.0439170306604899E-3</c:v>
                </c:pt>
                <c:pt idx="21">
                  <c:v>2.0936078191236898E-3</c:v>
                </c:pt>
                <c:pt idx="22">
                  <c:v>2.14637790694299E-3</c:v>
                </c:pt>
                <c:pt idx="23">
                  <c:v>2.2023845260985401E-3</c:v>
                </c:pt>
                <c:pt idx="24">
                  <c:v>2.2617932163434599E-3</c:v>
                </c:pt>
                <c:pt idx="25">
                  <c:v>2.3247782616553402E-3</c:v>
                </c:pt>
              </c:numCache>
            </c:numRef>
          </c:val>
        </c:ser>
        <c:ser>
          <c:idx val="4"/>
          <c:order val="4"/>
          <c:tx>
            <c:strRef>
              <c:f>'Customer Calc'!$BO$22</c:f>
              <c:strCache>
                <c:ptCount val="1"/>
                <c:pt idx="0">
                  <c:v>Use Shift Rate Impact</c:v>
                </c:pt>
              </c:strCache>
            </c:strRef>
          </c:tx>
          <c:invertIfNegative val="0"/>
          <c:cat>
            <c:numRef>
              <c:f>'Customer Calc'!$BR$6:$CQ$6</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Calc'!$BR$22:$CQ$22</c:f>
              <c:numCache>
                <c:formatCode>_("$"* #,##0.0000_);_("$"* \(#,##0.0000\);_("$"* "-"??_);_(@_)</c:formatCode>
                <c:ptCount val="26"/>
                <c:pt idx="0">
                  <c:v>0</c:v>
                </c:pt>
                <c:pt idx="1">
                  <c:v>-2.1955594906335901E-4</c:v>
                </c:pt>
                <c:pt idx="2">
                  <c:v>-2.4533681547458198E-4</c:v>
                </c:pt>
                <c:pt idx="3">
                  <c:v>-2.7427986149518302E-4</c:v>
                </c:pt>
                <c:pt idx="4">
                  <c:v>-3.0679390555141302E-4</c:v>
                </c:pt>
                <c:pt idx="5">
                  <c:v>-3.43344004910153E-4</c:v>
                </c:pt>
                <c:pt idx="6">
                  <c:v>-3.8445979592180001E-4</c:v>
                </c:pt>
                <c:pt idx="7">
                  <c:v>-4.3074518986440502E-4</c:v>
                </c:pt>
                <c:pt idx="8">
                  <c:v>-4.82889669964371E-4</c:v>
                </c:pt>
                <c:pt idx="9">
                  <c:v>-5.41681485377139E-4</c:v>
                </c:pt>
                <c:pt idx="10">
                  <c:v>-6.08023099766009E-4</c:v>
                </c:pt>
                <c:pt idx="11">
                  <c:v>-1.5781729415013501E-4</c:v>
                </c:pt>
                <c:pt idx="12">
                  <c:v>-1.6807541826990399E-4</c:v>
                </c:pt>
                <c:pt idx="13">
                  <c:v>-1.7900032045744599E-4</c:v>
                </c:pt>
                <c:pt idx="14">
                  <c:v>-1.9063534128723801E-4</c:v>
                </c:pt>
                <c:pt idx="15">
                  <c:v>-2.0302663847091899E-4</c:v>
                </c:pt>
                <c:pt idx="16">
                  <c:v>-2.1622336997152201E-4</c:v>
                </c:pt>
                <c:pt idx="17">
                  <c:v>-2.3027788901970101E-4</c:v>
                </c:pt>
                <c:pt idx="18">
                  <c:v>-2.4524595180598201E-4</c:v>
                </c:pt>
                <c:pt idx="19">
                  <c:v>-2.6118693867339498E-4</c:v>
                </c:pt>
                <c:pt idx="20">
                  <c:v>-2.7816408968720901E-4</c:v>
                </c:pt>
                <c:pt idx="21">
                  <c:v>-2.96244755516909E-4</c:v>
                </c:pt>
                <c:pt idx="22">
                  <c:v>-3.15500664625471E-4</c:v>
                </c:pt>
                <c:pt idx="23">
                  <c:v>-3.3600820782618101E-4</c:v>
                </c:pt>
                <c:pt idx="24">
                  <c:v>-3.57848741334858E-4</c:v>
                </c:pt>
                <c:pt idx="25">
                  <c:v>-3.8110890952165299E-4</c:v>
                </c:pt>
              </c:numCache>
            </c:numRef>
          </c:val>
        </c:ser>
        <c:dLbls>
          <c:showLegendKey val="0"/>
          <c:showVal val="0"/>
          <c:showCatName val="0"/>
          <c:showSerName val="0"/>
          <c:showPercent val="0"/>
          <c:showBubbleSize val="0"/>
        </c:dLbls>
        <c:gapWidth val="150"/>
        <c:overlap val="100"/>
        <c:axId val="271872608"/>
        <c:axId val="271873168"/>
      </c:barChart>
      <c:catAx>
        <c:axId val="271872608"/>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1873168"/>
        <c:crosses val="autoZero"/>
        <c:auto val="1"/>
        <c:lblAlgn val="ctr"/>
        <c:lblOffset val="100"/>
        <c:noMultiLvlLbl val="0"/>
      </c:catAx>
      <c:valAx>
        <c:axId val="271873168"/>
        <c:scaling>
          <c:orientation val="minMax"/>
        </c:scaling>
        <c:delete val="0"/>
        <c:axPos val="l"/>
        <c:numFmt formatCode="_(&quot;$&quot;* #,##0.00_);_(&quot;$&quot;* \(#,##0.00\);_(&quot;$&quot;* &quot;-&quot;??_);_(@_)" sourceLinked="1"/>
        <c:majorTickMark val="out"/>
        <c:minorTickMark val="none"/>
        <c:tickLblPos val="nextTo"/>
        <c:txPr>
          <a:bodyPr/>
          <a:lstStyle/>
          <a:p>
            <a:pPr>
              <a:defRPr sz="800"/>
            </a:pPr>
            <a:endParaRPr lang="en-US"/>
          </a:p>
        </c:txPr>
        <c:crossAx val="271872608"/>
        <c:crosses val="autoZero"/>
        <c:crossBetween val="between"/>
      </c:valAx>
    </c:plotArea>
    <c:legend>
      <c:legendPos val="r"/>
      <c:layout>
        <c:manualLayout>
          <c:xMode val="edge"/>
          <c:yMode val="edge"/>
          <c:x val="0.74210084654911102"/>
          <c:y val="6.0857853294653902E-2"/>
          <c:w val="0.24440135608048999"/>
          <c:h val="0.93247513468711096"/>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a:pPr>
            <a:r>
              <a:rPr lang="en-US" sz="1000"/>
              <a:t>Levelized Cost of Energy</a:t>
            </a:r>
          </a:p>
        </c:rich>
      </c:tx>
      <c:overlay val="0"/>
    </c:title>
    <c:autoTitleDeleted val="0"/>
    <c:plotArea>
      <c:layout/>
      <c:barChart>
        <c:barDir val="col"/>
        <c:grouping val="clustered"/>
        <c:varyColors val="0"/>
        <c:ser>
          <c:idx val="0"/>
          <c:order val="0"/>
          <c:invertIfNegative val="0"/>
          <c:cat>
            <c:numRef>
              <c:f>'Customer Calc'!$BR$6:$CB$6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'Customer Calc'!$BR$29:$CB$29</c:f>
              <c:numCache>
                <c:formatCode>_("$"* #,##0.0000_);_("$"* \(#,##0.0000\);_("$"* "-"??_);_(@_)</c:formatCode>
                <c:ptCount val="11"/>
                <c:pt idx="0">
                  <c:v>0</c:v>
                </c:pt>
                <c:pt idx="1">
                  <c:v>1.3957117972702E-2</c:v>
                </c:pt>
                <c:pt idx="2">
                  <c:v>1.35934631545808E-2</c:v>
                </c:pt>
                <c:pt idx="3">
                  <c:v>1.3233919481681299E-2</c:v>
                </c:pt>
                <c:pt idx="4">
                  <c:v>1.28788645932187E-2</c:v>
                </c:pt>
                <c:pt idx="5">
                  <c:v>1.25286410127227E-2</c:v>
                </c:pt>
                <c:pt idx="6">
                  <c:v>1.21835571018367E-2</c:v>
                </c:pt>
                <c:pt idx="7">
                  <c:v>1.18438881631303E-2</c:v>
                </c:pt>
                <c:pt idx="8">
                  <c:v>1.1509877666545199E-2</c:v>
                </c:pt>
                <c:pt idx="9">
                  <c:v>1.11817385755234E-2</c:v>
                </c:pt>
                <c:pt idx="10">
                  <c:v>1.0859654750479199E-2</c:v>
                </c:pt>
              </c:numCache>
            </c:numRef>
          </c:val>
        </c:ser>
        <c:dLbls>
          <c:showLegendKey val="0"/>
          <c:showVal val="0"/>
          <c:showCatName val="0"/>
          <c:showSerName val="0"/>
          <c:showPercent val="0"/>
          <c:showBubbleSize val="0"/>
        </c:dLbls>
        <c:gapWidth val="150"/>
        <c:axId val="271875408"/>
        <c:axId val="271970560"/>
      </c:barChart>
      <c:catAx>
        <c:axId val="271875408"/>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1970560"/>
        <c:crosses val="autoZero"/>
        <c:auto val="1"/>
        <c:lblAlgn val="ctr"/>
        <c:lblOffset val="100"/>
        <c:noMultiLvlLbl val="0"/>
      </c:catAx>
      <c:valAx>
        <c:axId val="271970560"/>
        <c:scaling>
          <c:orientation val="minMax"/>
        </c:scaling>
        <c:delete val="0"/>
        <c:axPos val="l"/>
        <c:majorGridlines/>
        <c:numFmt formatCode="_(&quot;$&quot;* #,##0.000_);_(&quot;$&quot;* \(#,##0.000\);_(&quot;$&quot;* &quot;-&quot;???_);_(@_)" sourceLinked="0"/>
        <c:majorTickMark val="out"/>
        <c:minorTickMark val="none"/>
        <c:tickLblPos val="nextTo"/>
        <c:txPr>
          <a:bodyPr/>
          <a:lstStyle/>
          <a:p>
            <a:pPr>
              <a:defRPr sz="800"/>
            </a:pPr>
            <a:endParaRPr lang="en-US"/>
          </a:p>
        </c:txPr>
        <c:crossAx val="2718754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00"/>
            </a:pPr>
            <a:r>
              <a:rPr lang="en-US" sz="1000"/>
              <a:t>% Avg Bill Difference </a:t>
            </a:r>
          </a:p>
          <a:p>
            <a:pPr>
              <a:defRPr sz="1000"/>
            </a:pPr>
            <a:r>
              <a:rPr lang="en-US" sz="1000"/>
              <a:t>(EE Case - Base Case)</a:t>
            </a:r>
          </a:p>
        </c:rich>
      </c:tx>
      <c:overlay val="0"/>
    </c:title>
    <c:autoTitleDeleted val="0"/>
    <c:plotArea>
      <c:layout/>
      <c:lineChart>
        <c:grouping val="standard"/>
        <c:varyColors val="0"/>
        <c:ser>
          <c:idx val="0"/>
          <c:order val="0"/>
          <c:marker>
            <c:symbol val="none"/>
          </c:marke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Calc'!$BR$35:$CQ$35</c:f>
              <c:numCache>
                <c:formatCode>0.00%</c:formatCode>
                <c:ptCount val="26"/>
                <c:pt idx="0">
                  <c:v>0</c:v>
                </c:pt>
                <c:pt idx="1">
                  <c:v>2.9937776016671102E-3</c:v>
                </c:pt>
                <c:pt idx="2">
                  <c:v>1.75089001789383E-3</c:v>
                </c:pt>
                <c:pt idx="3">
                  <c:v>4.3278015752488302E-4</c:v>
                </c:pt>
                <c:pt idx="4">
                  <c:v>-9.61855683213086E-4</c:v>
                </c:pt>
                <c:pt idx="5">
                  <c:v>-2.4341574650381002E-3</c:v>
                </c:pt>
                <c:pt idx="6">
                  <c:v>-3.9851177167395E-3</c:v>
                </c:pt>
                <c:pt idx="7">
                  <c:v>-5.6156023936052802E-3</c:v>
                </c:pt>
                <c:pt idx="8">
                  <c:v>-7.3263761778452402E-3</c:v>
                </c:pt>
                <c:pt idx="9">
                  <c:v>-9.11813208532509E-3</c:v>
                </c:pt>
                <c:pt idx="10">
                  <c:v>-1.09915252362281E-2</c:v>
                </c:pt>
                <c:pt idx="11">
                  <c:v>-1.33790817582958E-2</c:v>
                </c:pt>
                <c:pt idx="12">
                  <c:v>-1.36485422762754E-2</c:v>
                </c:pt>
                <c:pt idx="13">
                  <c:v>-1.3913379445650799E-2</c:v>
                </c:pt>
                <c:pt idx="14">
                  <c:v>-1.4173228030748299E-2</c:v>
                </c:pt>
                <c:pt idx="15">
                  <c:v>-1.44277638309021E-2</c:v>
                </c:pt>
                <c:pt idx="16">
                  <c:v>-1.46767040095811E-2</c:v>
                </c:pt>
                <c:pt idx="17">
                  <c:v>-1.4919806895896099E-2</c:v>
                </c:pt>
                <c:pt idx="18">
                  <c:v>-1.51568713038741E-2</c:v>
                </c:pt>
                <c:pt idx="19">
                  <c:v>-1.5387735421464E-2</c:v>
                </c:pt>
                <c:pt idx="20">
                  <c:v>-1.56122753255988E-2</c:v>
                </c:pt>
                <c:pt idx="21">
                  <c:v>-1.58304031819896E-2</c:v>
                </c:pt>
                <c:pt idx="22">
                  <c:v>-1.6042065188768901E-2</c:v>
                </c:pt>
                <c:pt idx="23">
                  <c:v>-1.6247239321922902E-2</c:v>
                </c:pt>
                <c:pt idx="24">
                  <c:v>-1.6445932937848601E-2</c:v>
                </c:pt>
                <c:pt idx="25">
                  <c:v>-1.6638180284705699E-2</c:v>
                </c:pt>
              </c:numCache>
            </c:numRef>
          </c:val>
          <c:smooth val="0"/>
        </c:ser>
        <c:dLbls>
          <c:showLegendKey val="0"/>
          <c:showVal val="0"/>
          <c:showCatName val="0"/>
          <c:showSerName val="0"/>
          <c:showPercent val="0"/>
          <c:showBubbleSize val="0"/>
        </c:dLbls>
        <c:smooth val="0"/>
        <c:axId val="271972800"/>
        <c:axId val="271973360"/>
      </c:lineChart>
      <c:catAx>
        <c:axId val="271972800"/>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1973360"/>
        <c:crosses val="autoZero"/>
        <c:auto val="1"/>
        <c:lblAlgn val="ctr"/>
        <c:lblOffset val="100"/>
        <c:noMultiLvlLbl val="0"/>
      </c:catAx>
      <c:valAx>
        <c:axId val="271973360"/>
        <c:scaling>
          <c:orientation val="minMax"/>
        </c:scaling>
        <c:delete val="0"/>
        <c:axPos val="l"/>
        <c:numFmt formatCode="0.0%" sourceLinked="0"/>
        <c:majorTickMark val="out"/>
        <c:minorTickMark val="none"/>
        <c:tickLblPos val="nextTo"/>
        <c:txPr>
          <a:bodyPr/>
          <a:lstStyle/>
          <a:p>
            <a:pPr>
              <a:defRPr sz="800"/>
            </a:pPr>
            <a:endParaRPr lang="en-US"/>
          </a:p>
        </c:txPr>
        <c:crossAx val="2719728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Bill Differene Breakdown</a:t>
            </a:r>
          </a:p>
        </c:rich>
      </c:tx>
      <c:overlay val="0"/>
    </c:title>
    <c:autoTitleDeleted val="0"/>
    <c:plotArea>
      <c:layout>
        <c:manualLayout>
          <c:layoutTarget val="inner"/>
          <c:xMode val="edge"/>
          <c:yMode val="edge"/>
          <c:x val="0.10172900262467199"/>
          <c:y val="0.26242089530475399"/>
          <c:w val="0.85728608923884497"/>
          <c:h val="0.677393919510061"/>
        </c:manualLayout>
      </c:layout>
      <c:lineChart>
        <c:grouping val="standard"/>
        <c:varyColors val="0"/>
        <c:ser>
          <c:idx val="0"/>
          <c:order val="0"/>
          <c:tx>
            <c:v>Participants</c:v>
          </c:tx>
          <c:marker>
            <c:symbol val="none"/>
          </c:marke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Calc'!$BR$36:$CQ$36</c:f>
              <c:numCache>
                <c:formatCode>0.00%</c:formatCode>
                <c:ptCount val="26"/>
                <c:pt idx="0">
                  <c:v>0</c:v>
                </c:pt>
                <c:pt idx="1">
                  <c:v>-7.9501599753563496E-2</c:v>
                </c:pt>
                <c:pt idx="2">
                  <c:v>-7.8674552088582497E-2</c:v>
                </c:pt>
                <c:pt idx="3">
                  <c:v>-7.7912554738807496E-2</c:v>
                </c:pt>
                <c:pt idx="4">
                  <c:v>-7.7214517110106601E-2</c:v>
                </c:pt>
                <c:pt idx="5">
                  <c:v>-7.6578910452646698E-2</c:v>
                </c:pt>
                <c:pt idx="6">
                  <c:v>-7.6003759397748102E-2</c:v>
                </c:pt>
                <c:pt idx="7">
                  <c:v>-7.5486636021998899E-2</c:v>
                </c:pt>
                <c:pt idx="8">
                  <c:v>-7.5024656129899794E-2</c:v>
                </c:pt>
                <c:pt idx="9">
                  <c:v>-7.46144773853301E-2</c:v>
                </c:pt>
                <c:pt idx="10">
                  <c:v>-7.4252298876194597E-2</c:v>
                </c:pt>
                <c:pt idx="11">
                  <c:v>-7.7329795573834001E-2</c:v>
                </c:pt>
                <c:pt idx="12">
                  <c:v>-7.8479599303097905E-2</c:v>
                </c:pt>
                <c:pt idx="13">
                  <c:v>-7.9633488450301604E-2</c:v>
                </c:pt>
                <c:pt idx="14">
                  <c:v>-8.0791217068161905E-2</c:v>
                </c:pt>
                <c:pt idx="15">
                  <c:v>-8.1952581651931103E-2</c:v>
                </c:pt>
                <c:pt idx="16">
                  <c:v>-8.3117421158594704E-2</c:v>
                </c:pt>
                <c:pt idx="17">
                  <c:v>-8.4285616522416701E-2</c:v>
                </c:pt>
                <c:pt idx="18">
                  <c:v>-8.5457089716045806E-2</c:v>
                </c:pt>
                <c:pt idx="19">
                  <c:v>-8.6631802411813702E-2</c:v>
                </c:pt>
                <c:pt idx="20">
                  <c:v>-8.7809754301140797E-2</c:v>
                </c:pt>
                <c:pt idx="21">
                  <c:v>-8.8990981131300301E-2</c:v>
                </c:pt>
                <c:pt idx="22">
                  <c:v>-9.0175552518366495E-2</c:v>
                </c:pt>
                <c:pt idx="23">
                  <c:v>-9.1363569593224794E-2</c:v>
                </c:pt>
                <c:pt idx="24">
                  <c:v>-9.2555162534324803E-2</c:v>
                </c:pt>
                <c:pt idx="25">
                  <c:v>-9.3750488036701496E-2</c:v>
                </c:pt>
              </c:numCache>
            </c:numRef>
          </c:val>
          <c:smooth val="0"/>
        </c:ser>
        <c:ser>
          <c:idx val="1"/>
          <c:order val="1"/>
          <c:tx>
            <c:v>Non-Partic</c:v>
          </c:tx>
          <c:marker>
            <c:symbol val="none"/>
          </c:marke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Calc'!$BR$37:$CQ$37</c:f>
              <c:numCache>
                <c:formatCode>0.00%</c:formatCode>
                <c:ptCount val="26"/>
                <c:pt idx="0">
                  <c:v>0</c:v>
                </c:pt>
                <c:pt idx="1">
                  <c:v>5.3578611321026598E-3</c:v>
                </c:pt>
                <c:pt idx="2">
                  <c:v>6.5528702673303E-3</c:v>
                </c:pt>
                <c:pt idx="3">
                  <c:v>7.6818685818923196E-3</c:v>
                </c:pt>
                <c:pt idx="4">
                  <c:v>8.7447193269359208E-3</c:v>
                </c:pt>
                <c:pt idx="5">
                  <c:v>9.7414470191906598E-3</c:v>
                </c:pt>
                <c:pt idx="6">
                  <c:v>1.0672196456426E-2</c:v>
                </c:pt>
                <c:pt idx="7">
                  <c:v>1.15371776170801E-2</c:v>
                </c:pt>
                <c:pt idx="8">
                  <c:v>1.23365927649399E-2</c:v>
                </c:pt>
                <c:pt idx="9">
                  <c:v>1.3070540447178E-2</c:v>
                </c:pt>
                <c:pt idx="10">
                  <c:v>1.37388885843475E-2</c:v>
                </c:pt>
                <c:pt idx="11">
                  <c:v>1.13805800896408E-2</c:v>
                </c:pt>
                <c:pt idx="12">
                  <c:v>1.11153076739656E-2</c:v>
                </c:pt>
                <c:pt idx="13">
                  <c:v>1.0855130960577299E-2</c:v>
                </c:pt>
                <c:pt idx="14">
                  <c:v>1.0600418111865399E-2</c:v>
                </c:pt>
                <c:pt idx="15">
                  <c:v>1.03514940516896E-2</c:v>
                </c:pt>
                <c:pt idx="16">
                  <c:v>1.01086403280874E-2</c:v>
                </c:pt>
                <c:pt idx="17">
                  <c:v>9.8720955109668201E-3</c:v>
                </c:pt>
                <c:pt idx="18">
                  <c:v>9.64205607473256E-3</c:v>
                </c:pt>
                <c:pt idx="19">
                  <c:v>9.4186777097885598E-3</c:v>
                </c:pt>
                <c:pt idx="20">
                  <c:v>9.2020770030864108E-3</c:v>
                </c:pt>
                <c:pt idx="21">
                  <c:v>8.9923334261635592E-3</c:v>
                </c:pt>
                <c:pt idx="22">
                  <c:v>8.7894915692686201E-3</c:v>
                </c:pt>
                <c:pt idx="23">
                  <c:v>8.5935635619403296E-3</c:v>
                </c:pt>
                <c:pt idx="24">
                  <c:v>8.4045316235184606E-3</c:v>
                </c:pt>
                <c:pt idx="25">
                  <c:v>8.2223506912238401E-3</c:v>
                </c:pt>
              </c:numCache>
            </c:numRef>
          </c:val>
          <c:smooth val="0"/>
        </c:ser>
        <c:ser>
          <c:idx val="2"/>
          <c:order val="2"/>
          <c:tx>
            <c:v>Total</c:v>
          </c:tx>
          <c:marker>
            <c:symbol val="none"/>
          </c:marke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Calc'!$BR$35:$CQ$35</c:f>
              <c:numCache>
                <c:formatCode>0.00%</c:formatCode>
                <c:ptCount val="26"/>
                <c:pt idx="0">
                  <c:v>0</c:v>
                </c:pt>
                <c:pt idx="1">
                  <c:v>2.9937776016671102E-3</c:v>
                </c:pt>
                <c:pt idx="2">
                  <c:v>1.75089001789383E-3</c:v>
                </c:pt>
                <c:pt idx="3">
                  <c:v>4.3278015752488302E-4</c:v>
                </c:pt>
                <c:pt idx="4">
                  <c:v>-9.61855683213086E-4</c:v>
                </c:pt>
                <c:pt idx="5">
                  <c:v>-2.4341574650381002E-3</c:v>
                </c:pt>
                <c:pt idx="6">
                  <c:v>-3.9851177167395E-3</c:v>
                </c:pt>
                <c:pt idx="7">
                  <c:v>-5.6156023936052802E-3</c:v>
                </c:pt>
                <c:pt idx="8">
                  <c:v>-7.3263761778452402E-3</c:v>
                </c:pt>
                <c:pt idx="9">
                  <c:v>-9.11813208532509E-3</c:v>
                </c:pt>
                <c:pt idx="10">
                  <c:v>-1.09915252362281E-2</c:v>
                </c:pt>
                <c:pt idx="11">
                  <c:v>-1.33790817582958E-2</c:v>
                </c:pt>
                <c:pt idx="12">
                  <c:v>-1.36485422762754E-2</c:v>
                </c:pt>
                <c:pt idx="13">
                  <c:v>-1.3913379445650799E-2</c:v>
                </c:pt>
                <c:pt idx="14">
                  <c:v>-1.4173228030748299E-2</c:v>
                </c:pt>
                <c:pt idx="15">
                  <c:v>-1.44277638309021E-2</c:v>
                </c:pt>
                <c:pt idx="16">
                  <c:v>-1.46767040095811E-2</c:v>
                </c:pt>
                <c:pt idx="17">
                  <c:v>-1.4919806895896099E-2</c:v>
                </c:pt>
                <c:pt idx="18">
                  <c:v>-1.51568713038741E-2</c:v>
                </c:pt>
                <c:pt idx="19">
                  <c:v>-1.5387735421464E-2</c:v>
                </c:pt>
                <c:pt idx="20">
                  <c:v>-1.56122753255988E-2</c:v>
                </c:pt>
                <c:pt idx="21">
                  <c:v>-1.58304031819896E-2</c:v>
                </c:pt>
                <c:pt idx="22">
                  <c:v>-1.6042065188768901E-2</c:v>
                </c:pt>
                <c:pt idx="23">
                  <c:v>-1.6247239321922902E-2</c:v>
                </c:pt>
                <c:pt idx="24">
                  <c:v>-1.6445932937848601E-2</c:v>
                </c:pt>
                <c:pt idx="25">
                  <c:v>-1.6638180284705699E-2</c:v>
                </c:pt>
              </c:numCache>
            </c:numRef>
          </c:val>
          <c:smooth val="0"/>
        </c:ser>
        <c:dLbls>
          <c:showLegendKey val="0"/>
          <c:showVal val="0"/>
          <c:showCatName val="0"/>
          <c:showSerName val="0"/>
          <c:showPercent val="0"/>
          <c:showBubbleSize val="0"/>
        </c:dLbls>
        <c:smooth val="0"/>
        <c:axId val="271394976"/>
        <c:axId val="271395536"/>
      </c:lineChart>
      <c:catAx>
        <c:axId val="271394976"/>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1395536"/>
        <c:crosses val="autoZero"/>
        <c:auto val="1"/>
        <c:lblAlgn val="ctr"/>
        <c:lblOffset val="100"/>
        <c:noMultiLvlLbl val="0"/>
      </c:catAx>
      <c:valAx>
        <c:axId val="271395536"/>
        <c:scaling>
          <c:orientation val="minMax"/>
        </c:scaling>
        <c:delete val="0"/>
        <c:axPos val="l"/>
        <c:numFmt formatCode="0%" sourceLinked="0"/>
        <c:majorTickMark val="out"/>
        <c:minorTickMark val="none"/>
        <c:tickLblPos val="nextTo"/>
        <c:txPr>
          <a:bodyPr/>
          <a:lstStyle/>
          <a:p>
            <a:pPr>
              <a:defRPr sz="800"/>
            </a:pPr>
            <a:endParaRPr lang="en-US"/>
          </a:p>
        </c:txPr>
        <c:crossAx val="271394976"/>
        <c:crosses val="autoZero"/>
        <c:crossBetween val="between"/>
      </c:valAx>
    </c:plotArea>
    <c:legend>
      <c:legendPos val="t"/>
      <c:layout>
        <c:manualLayout>
          <c:xMode val="edge"/>
          <c:yMode val="edge"/>
          <c:x val="0.14175224575801301"/>
          <c:y val="0.185462359261167"/>
          <c:w val="0.81978189346050101"/>
          <c:h val="9.2976450860309104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a:pPr>
            <a:r>
              <a:rPr lang="en-US" sz="1000"/>
              <a:t>Participation</a:t>
            </a:r>
          </a:p>
        </c:rich>
      </c:tx>
      <c:overlay val="0"/>
    </c:title>
    <c:autoTitleDeleted val="0"/>
    <c:plotArea>
      <c:layout>
        <c:manualLayout>
          <c:layoutTarget val="inner"/>
          <c:xMode val="edge"/>
          <c:yMode val="edge"/>
          <c:x val="0.170183289588801"/>
          <c:y val="0.211111111111111"/>
          <c:w val="0.72300358581937796"/>
          <c:h val="0.62122958588509802"/>
        </c:manualLayout>
      </c:layout>
      <c:areaChart>
        <c:grouping val="stacked"/>
        <c:varyColors val="0"/>
        <c:ser>
          <c:idx val="0"/>
          <c:order val="0"/>
          <c:tx>
            <c:v>Non-Partic</c:v>
          </c:tx>
          <c:spPr>
            <a:solidFill>
              <a:schemeClr val="accent2"/>
            </a:solidFill>
            <a:ln w="25400" cap="flat" cmpd="sng" algn="ctr">
              <a:solidFill>
                <a:schemeClr val="accent2">
                  <a:shade val="50000"/>
                </a:schemeClr>
              </a:solidFill>
              <a:prstDash val="solid"/>
            </a:ln>
            <a:effectLst/>
          </c:spP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Calc'!$BR$43:$CQ$43</c:f>
              <c:numCache>
                <c:formatCode>_(* #,##0_);_(* \(#,##0\);_(* "-"??_);_(@_)</c:formatCode>
                <c:ptCount val="26"/>
                <c:pt idx="0">
                  <c:v>2367580</c:v>
                </c:pt>
                <c:pt idx="1">
                  <c:v>2320456.3160000001</c:v>
                </c:pt>
                <c:pt idx="2">
                  <c:v>2272271.9690232002</c:v>
                </c:pt>
                <c:pt idx="3">
                  <c:v>2222948.6565204398</c:v>
                </c:pt>
                <c:pt idx="4">
                  <c:v>2172399.5704685799</c:v>
                </c:pt>
                <c:pt idx="5">
                  <c:v>2120528.4319044999</c:v>
                </c:pt>
                <c:pt idx="6">
                  <c:v>2067228.4154369701</c:v>
                </c:pt>
                <c:pt idx="7">
                  <c:v>2012380.9511943799</c:v>
                </c:pt>
                <c:pt idx="8">
                  <c:v>1955854.39023632</c:v>
                </c:pt>
                <c:pt idx="9">
                  <c:v>1897502.5178644001</c:v>
                </c:pt>
                <c:pt idx="10">
                  <c:v>1837162.8974931601</c:v>
                </c:pt>
                <c:pt idx="11">
                  <c:v>1863891.6368581301</c:v>
                </c:pt>
                <c:pt idx="12">
                  <c:v>1890893.0093646201</c:v>
                </c:pt>
                <c:pt idx="13">
                  <c:v>1918169.7958706799</c:v>
                </c:pt>
                <c:pt idx="14">
                  <c:v>1945724.8055991</c:v>
                </c:pt>
                <c:pt idx="15">
                  <c:v>1973560.8764267501</c:v>
                </c:pt>
                <c:pt idx="16">
                  <c:v>2001680.87517684</c:v>
                </c:pt>
                <c:pt idx="17">
                  <c:v>2030087.6979141801</c:v>
                </c:pt>
                <c:pt idx="18">
                  <c:v>2058784.2702434401</c:v>
                </c:pt>
                <c:pt idx="19">
                  <c:v>2087773.5476104601</c:v>
                </c:pt>
                <c:pt idx="20">
                  <c:v>2117058.5156066301</c:v>
                </c:pt>
                <c:pt idx="21">
                  <c:v>2146642.1902763499</c:v>
                </c:pt>
                <c:pt idx="22">
                  <c:v>2176527.6184277101</c:v>
                </c:pt>
                <c:pt idx="23">
                  <c:v>2206717.8779462101</c:v>
                </c:pt>
                <c:pt idx="24">
                  <c:v>2237216.0781117999</c:v>
                </c:pt>
                <c:pt idx="25">
                  <c:v>2268025.35991908</c:v>
                </c:pt>
              </c:numCache>
            </c:numRef>
          </c:val>
        </c:ser>
        <c:ser>
          <c:idx val="1"/>
          <c:order val="1"/>
          <c:tx>
            <c:v>Participants</c:v>
          </c:tx>
          <c:spPr>
            <a:solidFill>
              <a:schemeClr val="accent1"/>
            </a:solidFill>
            <a:ln w="25400" cap="flat" cmpd="sng" algn="ctr">
              <a:solidFill>
                <a:schemeClr val="accent1">
                  <a:shade val="50000"/>
                </a:schemeClr>
              </a:solidFill>
              <a:prstDash val="solid"/>
            </a:ln>
            <a:effectLst/>
          </c:spPr>
          <c:cat>
            <c:numRef>
              <c:f>'Customer Calc'!$BR$34:$CQ$34</c:f>
              <c:numCache>
                <c:formatCode>General</c:formatCode>
                <c:ptCount val="2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numCache>
            </c:numRef>
          </c:cat>
          <c:val>
            <c:numRef>
              <c:f>'Customer Calc'!$BR$46:$CQ$46</c:f>
              <c:numCache>
                <c:formatCode>_(* #,##0_);_(* \(#,##0\);_(* "-"??_);_(@_)</c:formatCode>
                <c:ptCount val="26"/>
                <c:pt idx="0">
                  <c:v>0</c:v>
                </c:pt>
                <c:pt idx="1">
                  <c:v>71273</c:v>
                </c:pt>
                <c:pt idx="2">
                  <c:v>143852.986</c:v>
                </c:pt>
                <c:pt idx="3">
                  <c:v>217820.773044</c:v>
                </c:pt>
                <c:pt idx="4">
                  <c:v>293265.70727741602</c:v>
                </c:pt>
                <c:pt idx="5">
                  <c:v>370286.63167450548</c:v>
                </c:pt>
                <c:pt idx="6">
                  <c:v>448992.96179053781</c:v>
                </c:pt>
                <c:pt idx="7">
                  <c:v>529505.88408084912</c:v>
                </c:pt>
                <c:pt idx="8">
                  <c:v>611959.69075871771</c:v>
                </c:pt>
                <c:pt idx="9">
                  <c:v>696503.26675679034</c:v>
                </c:pt>
                <c:pt idx="10">
                  <c:v>783301.74613115855</c:v>
                </c:pt>
                <c:pt idx="11">
                  <c:v>783301.74613115855</c:v>
                </c:pt>
                <c:pt idx="12">
                  <c:v>783301.74613115855</c:v>
                </c:pt>
                <c:pt idx="13">
                  <c:v>783301.74613115855</c:v>
                </c:pt>
                <c:pt idx="14">
                  <c:v>783301.74613115855</c:v>
                </c:pt>
                <c:pt idx="15">
                  <c:v>783301.74613115855</c:v>
                </c:pt>
                <c:pt idx="16">
                  <c:v>783301.74613115855</c:v>
                </c:pt>
                <c:pt idx="17">
                  <c:v>783301.74613115855</c:v>
                </c:pt>
                <c:pt idx="18">
                  <c:v>783301.74613115855</c:v>
                </c:pt>
                <c:pt idx="19">
                  <c:v>783301.74613115855</c:v>
                </c:pt>
                <c:pt idx="20">
                  <c:v>783301.74613115855</c:v>
                </c:pt>
                <c:pt idx="21">
                  <c:v>783301.74613115855</c:v>
                </c:pt>
                <c:pt idx="22">
                  <c:v>783301.74613115855</c:v>
                </c:pt>
                <c:pt idx="23">
                  <c:v>783301.74613115855</c:v>
                </c:pt>
                <c:pt idx="24">
                  <c:v>783301.74613115855</c:v>
                </c:pt>
                <c:pt idx="25">
                  <c:v>783301.74613115855</c:v>
                </c:pt>
              </c:numCache>
            </c:numRef>
          </c:val>
        </c:ser>
        <c:dLbls>
          <c:showLegendKey val="0"/>
          <c:showVal val="0"/>
          <c:showCatName val="0"/>
          <c:showSerName val="0"/>
          <c:showPercent val="0"/>
          <c:showBubbleSize val="0"/>
        </c:dLbls>
        <c:axId val="271486576"/>
        <c:axId val="271487136"/>
      </c:areaChart>
      <c:catAx>
        <c:axId val="271486576"/>
        <c:scaling>
          <c:orientation val="minMax"/>
        </c:scaling>
        <c:delete val="0"/>
        <c:axPos val="b"/>
        <c:numFmt formatCode="General" sourceLinked="1"/>
        <c:majorTickMark val="out"/>
        <c:minorTickMark val="none"/>
        <c:tickLblPos val="nextTo"/>
        <c:txPr>
          <a:bodyPr rot="-2700000"/>
          <a:lstStyle/>
          <a:p>
            <a:pPr>
              <a:defRPr sz="800"/>
            </a:pPr>
            <a:endParaRPr lang="en-US"/>
          </a:p>
        </c:txPr>
        <c:crossAx val="271487136"/>
        <c:crosses val="autoZero"/>
        <c:auto val="1"/>
        <c:lblAlgn val="ctr"/>
        <c:lblOffset val="100"/>
        <c:noMultiLvlLbl val="0"/>
      </c:catAx>
      <c:valAx>
        <c:axId val="271487136"/>
        <c:scaling>
          <c:orientation val="minMax"/>
        </c:scaling>
        <c:delete val="0"/>
        <c:axPos val="l"/>
        <c:numFmt formatCode="#,##0" sourceLinked="0"/>
        <c:majorTickMark val="out"/>
        <c:minorTickMark val="none"/>
        <c:tickLblPos val="nextTo"/>
        <c:txPr>
          <a:bodyPr/>
          <a:lstStyle/>
          <a:p>
            <a:pPr>
              <a:defRPr sz="800"/>
            </a:pPr>
            <a:endParaRPr lang="en-US"/>
          </a:p>
        </c:txPr>
        <c:crossAx val="271486576"/>
        <c:crosses val="autoZero"/>
        <c:crossBetween val="midCat"/>
      </c:valAx>
    </c:plotArea>
    <c:legend>
      <c:legendPos val="r"/>
      <c:layout>
        <c:manualLayout>
          <c:xMode val="edge"/>
          <c:yMode val="edge"/>
          <c:x val="0.27203874163616898"/>
          <c:y val="0.168702184546693"/>
          <c:w val="0.53844626816014196"/>
          <c:h val="0.185952661782051"/>
        </c:manualLayout>
      </c:layout>
      <c:overlay val="0"/>
      <c:txPr>
        <a:bodyPr/>
        <a:lstStyle/>
        <a:p>
          <a:pPr>
            <a:defRPr sz="800"/>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1" i="0" u="none" strike="noStrike" baseline="0">
                <a:solidFill>
                  <a:srgbClr val="000000"/>
                </a:solidFill>
                <a:latin typeface="Calibri"/>
                <a:ea typeface="Calibri"/>
                <a:cs typeface="Calibri"/>
              </a:defRPr>
            </a:pPr>
            <a:r>
              <a:rPr lang="en-US" sz="1000"/>
              <a:t>After-tax Earnings Comparison</a:t>
            </a:r>
          </a:p>
        </c:rich>
      </c:tx>
      <c:overlay val="0"/>
      <c:spPr>
        <a:noFill/>
        <a:ln w="25400">
          <a:noFill/>
        </a:ln>
      </c:spPr>
    </c:title>
    <c:autoTitleDeleted val="0"/>
    <c:plotArea>
      <c:layout>
        <c:manualLayout>
          <c:layoutTarget val="inner"/>
          <c:xMode val="edge"/>
          <c:yMode val="edge"/>
          <c:x val="9.2803962884921001E-2"/>
          <c:y val="0.28222004870106299"/>
          <c:w val="0.85730398136852604"/>
          <c:h val="0.52922794685266406"/>
        </c:manualLayout>
      </c:layout>
      <c:lineChart>
        <c:grouping val="standard"/>
        <c:varyColors val="0"/>
        <c:ser>
          <c:idx val="0"/>
          <c:order val="0"/>
          <c:tx>
            <c:strRef>
              <c:f>'Utility Calc'!$C$66</c:f>
              <c:strCache>
                <c:ptCount val="1"/>
                <c:pt idx="0">
                  <c:v>Base Case</c:v>
                </c:pt>
              </c:strCache>
            </c:strRef>
          </c:tx>
          <c:spPr>
            <a:ln w="38100">
              <a:solidFill>
                <a:srgbClr val="666699"/>
              </a:solidFill>
              <a:prstDash val="solid"/>
            </a:ln>
          </c:spPr>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Calc'!$G$66:$AF$66</c:f>
              <c:numCache>
                <c:formatCode>_("$"* #,##0_);_("$"* \(#,##0\);_("$"* "-"??_);_(@_)</c:formatCode>
                <c:ptCount val="26"/>
                <c:pt idx="0">
                  <c:v>1185657829.96685</c:v>
                </c:pt>
                <c:pt idx="1">
                  <c:v>1237850502.83248</c:v>
                </c:pt>
                <c:pt idx="2">
                  <c:v>1266903469.2028501</c:v>
                </c:pt>
                <c:pt idx="3">
                  <c:v>1297752471.83742</c:v>
                </c:pt>
                <c:pt idx="4">
                  <c:v>1330516544.7459099</c:v>
                </c:pt>
                <c:pt idx="5">
                  <c:v>1365322660.3119099</c:v>
                </c:pt>
                <c:pt idx="6">
                  <c:v>1402306262.6368899</c:v>
                </c:pt>
                <c:pt idx="7">
                  <c:v>1441611836.9109199</c:v>
                </c:pt>
                <c:pt idx="8">
                  <c:v>1483393517.24347</c:v>
                </c:pt>
                <c:pt idx="9">
                  <c:v>1527815735.5514901</c:v>
                </c:pt>
                <c:pt idx="10">
                  <c:v>1575053914.2764499</c:v>
                </c:pt>
                <c:pt idx="11">
                  <c:v>1625295205.88873</c:v>
                </c:pt>
                <c:pt idx="12">
                  <c:v>1678739282.3366101</c:v>
                </c:pt>
                <c:pt idx="13">
                  <c:v>1735599177.8102601</c:v>
                </c:pt>
                <c:pt idx="14">
                  <c:v>1796102188.41801</c:v>
                </c:pt>
                <c:pt idx="15">
                  <c:v>1860490832.6152999</c:v>
                </c:pt>
                <c:pt idx="16">
                  <c:v>1929023876.4858301</c:v>
                </c:pt>
                <c:pt idx="17">
                  <c:v>2001977428.2519</c:v>
                </c:pt>
                <c:pt idx="18">
                  <c:v>2079646106.6870999</c:v>
                </c:pt>
                <c:pt idx="19">
                  <c:v>2162344288.4210501</c:v>
                </c:pt>
                <c:pt idx="20">
                  <c:v>2250407439.4644399</c:v>
                </c:pt>
                <c:pt idx="21">
                  <c:v>2344193536.6442499</c:v>
                </c:pt>
                <c:pt idx="22">
                  <c:v>2444084585.0254998</c:v>
                </c:pt>
                <c:pt idx="23">
                  <c:v>2550488237.8091302</c:v>
                </c:pt>
                <c:pt idx="24">
                  <c:v>2663839525.6374102</c:v>
                </c:pt>
                <c:pt idx="25">
                  <c:v>2784602702.7097402</c:v>
                </c:pt>
              </c:numCache>
            </c:numRef>
          </c:val>
          <c:smooth val="0"/>
        </c:ser>
        <c:ser>
          <c:idx val="1"/>
          <c:order val="1"/>
          <c:tx>
            <c:strRef>
              <c:f>'Utility Calc'!$C$67</c:f>
              <c:strCache>
                <c:ptCount val="1"/>
                <c:pt idx="0">
                  <c:v>EE Case</c:v>
                </c:pt>
              </c:strCache>
            </c:strRef>
          </c:tx>
          <c:spPr>
            <a:ln w="38100">
              <a:solidFill>
                <a:srgbClr val="DD2D32"/>
              </a:solidFill>
              <a:prstDash val="solid"/>
            </a:ln>
          </c:spPr>
          <c:marker>
            <c:symbol val="none"/>
          </c:marker>
          <c:cat>
            <c:strRef>
              <c:f>'Utility Calc'!$G$3:$AF$3</c:f>
              <c:strCache>
                <c:ptCount val="26"/>
                <c:pt idx="0">
                  <c:v>Y0</c:v>
                </c:pt>
                <c:pt idx="1">
                  <c:v>Y1</c:v>
                </c:pt>
                <c:pt idx="2">
                  <c:v>Y2</c:v>
                </c:pt>
                <c:pt idx="3">
                  <c:v>Y3</c:v>
                </c:pt>
                <c:pt idx="4">
                  <c:v>Y4</c:v>
                </c:pt>
                <c:pt idx="5">
                  <c:v>Y5</c:v>
                </c:pt>
                <c:pt idx="6">
                  <c:v>Y6</c:v>
                </c:pt>
                <c:pt idx="7">
                  <c:v>Y7</c:v>
                </c:pt>
                <c:pt idx="8">
                  <c:v>Y8</c:v>
                </c:pt>
                <c:pt idx="9">
                  <c:v>Y9</c:v>
                </c:pt>
                <c:pt idx="10">
                  <c:v>Y10</c:v>
                </c:pt>
                <c:pt idx="11">
                  <c:v>Y11</c:v>
                </c:pt>
                <c:pt idx="12">
                  <c:v>Y12</c:v>
                </c:pt>
                <c:pt idx="13">
                  <c:v>Y13</c:v>
                </c:pt>
                <c:pt idx="14">
                  <c:v>Y14</c:v>
                </c:pt>
                <c:pt idx="15">
                  <c:v>Y15</c:v>
                </c:pt>
                <c:pt idx="16">
                  <c:v>Y16</c:v>
                </c:pt>
                <c:pt idx="17">
                  <c:v>Y17</c:v>
                </c:pt>
                <c:pt idx="18">
                  <c:v>Y18</c:v>
                </c:pt>
                <c:pt idx="19">
                  <c:v>Y19</c:v>
                </c:pt>
                <c:pt idx="20">
                  <c:v>Y20</c:v>
                </c:pt>
                <c:pt idx="21">
                  <c:v>Y21</c:v>
                </c:pt>
                <c:pt idx="22">
                  <c:v>Y22</c:v>
                </c:pt>
                <c:pt idx="23">
                  <c:v>Y23</c:v>
                </c:pt>
                <c:pt idx="24">
                  <c:v>Y24</c:v>
                </c:pt>
                <c:pt idx="25">
                  <c:v>Y25</c:v>
                </c:pt>
              </c:strCache>
            </c:strRef>
          </c:cat>
          <c:val>
            <c:numRef>
              <c:f>'Utility Calc'!$G$67:$AF$67</c:f>
              <c:numCache>
                <c:formatCode>_("$"* #,##0_);_("$"* \(#,##0\);_("$"* "-"??_);_(@_)</c:formatCode>
                <c:ptCount val="26"/>
                <c:pt idx="0">
                  <c:v>1185657829.96685</c:v>
                </c:pt>
                <c:pt idx="1">
                  <c:v>1230934728.1210499</c:v>
                </c:pt>
                <c:pt idx="2">
                  <c:v>1258682760.65767</c:v>
                </c:pt>
                <c:pt idx="3">
                  <c:v>1288054122.16467</c:v>
                </c:pt>
                <c:pt idx="4">
                  <c:v>1319144591.76789</c:v>
                </c:pt>
                <c:pt idx="5">
                  <c:v>1352054668.4198899</c:v>
                </c:pt>
                <c:pt idx="6">
                  <c:v>1386889642.31463</c:v>
                </c:pt>
                <c:pt idx="7">
                  <c:v>1423759632.5831101</c:v>
                </c:pt>
                <c:pt idx="8">
                  <c:v>1462779582.3799</c:v>
                </c:pt>
                <c:pt idx="9">
                  <c:v>1504069200.5984399</c:v>
                </c:pt>
                <c:pt idx="10">
                  <c:v>1547752837.17433</c:v>
                </c:pt>
                <c:pt idx="11">
                  <c:v>1617346029.2913001</c:v>
                </c:pt>
                <c:pt idx="12">
                  <c:v>1670167489.8343999</c:v>
                </c:pt>
                <c:pt idx="13">
                  <c:v>1726355991.0430701</c:v>
                </c:pt>
                <c:pt idx="14">
                  <c:v>1786135006.5575199</c:v>
                </c:pt>
                <c:pt idx="15">
                  <c:v>1849742932.74493</c:v>
                </c:pt>
                <c:pt idx="16">
                  <c:v>1917434090.4891901</c:v>
                </c:pt>
                <c:pt idx="17">
                  <c:v>1989479794.36759</c:v>
                </c:pt>
                <c:pt idx="18">
                  <c:v>2066169493.7429299</c:v>
                </c:pt>
                <c:pt idx="19">
                  <c:v>2147811990.6050701</c:v>
                </c:pt>
                <c:pt idx="20">
                  <c:v>2234736739.3221002</c:v>
                </c:pt>
                <c:pt idx="21">
                  <c:v>2327295233.8095002</c:v>
                </c:pt>
                <c:pt idx="22">
                  <c:v>2425862487.9984002</c:v>
                </c:pt>
                <c:pt idx="23">
                  <c:v>2530838615.8815999</c:v>
                </c:pt>
                <c:pt idx="24">
                  <c:v>2642650517.8413</c:v>
                </c:pt>
                <c:pt idx="25">
                  <c:v>2761753680.4162502</c:v>
                </c:pt>
              </c:numCache>
            </c:numRef>
          </c:val>
          <c:smooth val="0"/>
        </c:ser>
        <c:dLbls>
          <c:showLegendKey val="0"/>
          <c:showVal val="0"/>
          <c:showCatName val="0"/>
          <c:showSerName val="0"/>
          <c:showPercent val="0"/>
          <c:showBubbleSize val="0"/>
        </c:dLbls>
        <c:smooth val="0"/>
        <c:axId val="271472272"/>
        <c:axId val="271472832"/>
      </c:lineChart>
      <c:catAx>
        <c:axId val="27147227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Year</a:t>
                </a:r>
              </a:p>
            </c:rich>
          </c:tx>
          <c:overlay val="0"/>
          <c:spPr>
            <a:noFill/>
            <a:ln w="25400">
              <a:noFill/>
            </a:ln>
          </c:spPr>
        </c:title>
        <c:numFmt formatCode="General" sourceLinked="0"/>
        <c:majorTickMark val="out"/>
        <c:minorTickMark val="none"/>
        <c:tickLblPos val="nextTo"/>
        <c:spPr>
          <a:ln w="3175">
            <a:solidFill>
              <a:srgbClr val="808080"/>
            </a:solidFill>
            <a:prstDash val="solid"/>
          </a:ln>
        </c:spPr>
        <c:txPr>
          <a:bodyPr/>
          <a:lstStyle/>
          <a:p>
            <a:pPr>
              <a:defRPr sz="800"/>
            </a:pPr>
            <a:endParaRPr lang="en-US"/>
          </a:p>
        </c:txPr>
        <c:crossAx val="271472832"/>
        <c:crosses val="autoZero"/>
        <c:auto val="1"/>
        <c:lblAlgn val="ctr"/>
        <c:lblOffset val="100"/>
        <c:noMultiLvlLbl val="0"/>
      </c:catAx>
      <c:valAx>
        <c:axId val="271472832"/>
        <c:scaling>
          <c:orientation val="minMax"/>
        </c:scaling>
        <c:delete val="0"/>
        <c:axPos val="l"/>
        <c:numFmt formatCode="\$#,##0" sourceLinked="0"/>
        <c:majorTickMark val="out"/>
        <c:minorTickMark val="none"/>
        <c:tickLblPos val="nextTo"/>
        <c:spPr>
          <a:ln w="3175">
            <a:solidFill>
              <a:srgbClr val="808080"/>
            </a:solidFill>
            <a:prstDash val="solid"/>
          </a:ln>
        </c:spPr>
        <c:txPr>
          <a:bodyPr rot="0" vert="horz"/>
          <a:lstStyle/>
          <a:p>
            <a:pPr>
              <a:defRPr sz="800" b="0" i="0" u="none" strike="noStrike" baseline="0">
                <a:solidFill>
                  <a:srgbClr val="000000"/>
                </a:solidFill>
                <a:latin typeface="Calibri"/>
                <a:ea typeface="Calibri"/>
                <a:cs typeface="Calibri"/>
              </a:defRPr>
            </a:pPr>
            <a:endParaRPr lang="en-US"/>
          </a:p>
        </c:txPr>
        <c:crossAx val="271472272"/>
        <c:crosses val="autoZero"/>
        <c:crossBetween val="between"/>
        <c:dispUnits>
          <c:builtInUnit val="billions"/>
          <c:dispUnitsLbl/>
        </c:dispUnits>
      </c:valAx>
      <c:spPr>
        <a:solidFill>
          <a:srgbClr val="FFFFFF"/>
        </a:solidFill>
        <a:ln w="25400">
          <a:noFill/>
        </a:ln>
      </c:spPr>
    </c:plotArea>
    <c:legend>
      <c:legendPos val="t"/>
      <c:layout>
        <c:manualLayout>
          <c:xMode val="edge"/>
          <c:yMode val="edge"/>
          <c:x val="8.4507042253521097E-2"/>
          <c:y val="0.19904165130851501"/>
          <c:w val="0.87793427230046905"/>
          <c:h val="0.127716361293393"/>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9065A-3A01-44A9-83C0-65AFE2FE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15546</Words>
  <Characters>88617</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103956</CharactersWithSpaces>
  <SharedDoc>false</SharedDoc>
  <HLinks>
    <vt:vector size="222" baseType="variant">
      <vt:variant>
        <vt:i4>3604498</vt:i4>
      </vt:variant>
      <vt:variant>
        <vt:i4>141</vt:i4>
      </vt:variant>
      <vt:variant>
        <vt:i4>0</vt:i4>
      </vt:variant>
      <vt:variant>
        <vt:i4>5</vt:i4>
      </vt:variant>
      <vt:variant>
        <vt:lpwstr>http://www.sec.gov/edgar/searchedgar/companysearch.html</vt:lpwstr>
      </vt:variant>
      <vt:variant>
        <vt:lpwstr/>
      </vt:variant>
      <vt:variant>
        <vt:i4>3866691</vt:i4>
      </vt:variant>
      <vt:variant>
        <vt:i4>138</vt:i4>
      </vt:variant>
      <vt:variant>
        <vt:i4>0</vt:i4>
      </vt:variant>
      <vt:variant>
        <vt:i4>5</vt:i4>
      </vt:variant>
      <vt:variant>
        <vt:lpwstr>http://SEC/</vt:lpwstr>
      </vt:variant>
      <vt:variant>
        <vt:lpwstr/>
      </vt:variant>
      <vt:variant>
        <vt:i4>3604498</vt:i4>
      </vt:variant>
      <vt:variant>
        <vt:i4>135</vt:i4>
      </vt:variant>
      <vt:variant>
        <vt:i4>0</vt:i4>
      </vt:variant>
      <vt:variant>
        <vt:i4>5</vt:i4>
      </vt:variant>
      <vt:variant>
        <vt:lpwstr>http://www.sec.gov/edgar/searchedgar/companysearch.html</vt:lpwstr>
      </vt:variant>
      <vt:variant>
        <vt:lpwstr/>
      </vt:variant>
      <vt:variant>
        <vt:i4>3866691</vt:i4>
      </vt:variant>
      <vt:variant>
        <vt:i4>132</vt:i4>
      </vt:variant>
      <vt:variant>
        <vt:i4>0</vt:i4>
      </vt:variant>
      <vt:variant>
        <vt:i4>5</vt:i4>
      </vt:variant>
      <vt:variant>
        <vt:lpwstr>http://SEC/</vt:lpwstr>
      </vt:variant>
      <vt:variant>
        <vt:lpwstr/>
      </vt:variant>
      <vt:variant>
        <vt:i4>3604498</vt:i4>
      </vt:variant>
      <vt:variant>
        <vt:i4>129</vt:i4>
      </vt:variant>
      <vt:variant>
        <vt:i4>0</vt:i4>
      </vt:variant>
      <vt:variant>
        <vt:i4>5</vt:i4>
      </vt:variant>
      <vt:variant>
        <vt:lpwstr>http://www.sec.gov/edgar/searchedgar/companysearch.html</vt:lpwstr>
      </vt:variant>
      <vt:variant>
        <vt:lpwstr/>
      </vt:variant>
      <vt:variant>
        <vt:i4>3866691</vt:i4>
      </vt:variant>
      <vt:variant>
        <vt:i4>126</vt:i4>
      </vt:variant>
      <vt:variant>
        <vt:i4>0</vt:i4>
      </vt:variant>
      <vt:variant>
        <vt:i4>5</vt:i4>
      </vt:variant>
      <vt:variant>
        <vt:lpwstr>http://SEC/</vt:lpwstr>
      </vt:variant>
      <vt:variant>
        <vt:lpwstr/>
      </vt:variant>
      <vt:variant>
        <vt:i4>3604498</vt:i4>
      </vt:variant>
      <vt:variant>
        <vt:i4>123</vt:i4>
      </vt:variant>
      <vt:variant>
        <vt:i4>0</vt:i4>
      </vt:variant>
      <vt:variant>
        <vt:i4>5</vt:i4>
      </vt:variant>
      <vt:variant>
        <vt:lpwstr>http://www.sec.gov/edgar/searchedgar/companysearch.html</vt:lpwstr>
      </vt:variant>
      <vt:variant>
        <vt:lpwstr/>
      </vt:variant>
      <vt:variant>
        <vt:i4>3866691</vt:i4>
      </vt:variant>
      <vt:variant>
        <vt:i4>120</vt:i4>
      </vt:variant>
      <vt:variant>
        <vt:i4>0</vt:i4>
      </vt:variant>
      <vt:variant>
        <vt:i4>5</vt:i4>
      </vt:variant>
      <vt:variant>
        <vt:lpwstr>http://SEC/</vt:lpwstr>
      </vt:variant>
      <vt:variant>
        <vt:lpwstr/>
      </vt:variant>
      <vt:variant>
        <vt:i4>3604498</vt:i4>
      </vt:variant>
      <vt:variant>
        <vt:i4>117</vt:i4>
      </vt:variant>
      <vt:variant>
        <vt:i4>0</vt:i4>
      </vt:variant>
      <vt:variant>
        <vt:i4>5</vt:i4>
      </vt:variant>
      <vt:variant>
        <vt:lpwstr>http://www.sec.gov/edgar/searchedgar/companysearch.html</vt:lpwstr>
      </vt:variant>
      <vt:variant>
        <vt:lpwstr/>
      </vt:variant>
      <vt:variant>
        <vt:i4>3866691</vt:i4>
      </vt:variant>
      <vt:variant>
        <vt:i4>114</vt:i4>
      </vt:variant>
      <vt:variant>
        <vt:i4>0</vt:i4>
      </vt:variant>
      <vt:variant>
        <vt:i4>5</vt:i4>
      </vt:variant>
      <vt:variant>
        <vt:lpwstr>http://SEC/</vt:lpwstr>
      </vt:variant>
      <vt:variant>
        <vt:lpwstr/>
      </vt:variant>
      <vt:variant>
        <vt:i4>3604498</vt:i4>
      </vt:variant>
      <vt:variant>
        <vt:i4>111</vt:i4>
      </vt:variant>
      <vt:variant>
        <vt:i4>0</vt:i4>
      </vt:variant>
      <vt:variant>
        <vt:i4>5</vt:i4>
      </vt:variant>
      <vt:variant>
        <vt:lpwstr>http://www.sec.gov/edgar/searchedgar/companysearch.html</vt:lpwstr>
      </vt:variant>
      <vt:variant>
        <vt:lpwstr/>
      </vt:variant>
      <vt:variant>
        <vt:i4>3866691</vt:i4>
      </vt:variant>
      <vt:variant>
        <vt:i4>108</vt:i4>
      </vt:variant>
      <vt:variant>
        <vt:i4>0</vt:i4>
      </vt:variant>
      <vt:variant>
        <vt:i4>5</vt:i4>
      </vt:variant>
      <vt:variant>
        <vt:lpwstr>http://SEC/</vt:lpwstr>
      </vt:variant>
      <vt:variant>
        <vt:lpwstr/>
      </vt:variant>
      <vt:variant>
        <vt:i4>3604498</vt:i4>
      </vt:variant>
      <vt:variant>
        <vt:i4>105</vt:i4>
      </vt:variant>
      <vt:variant>
        <vt:i4>0</vt:i4>
      </vt:variant>
      <vt:variant>
        <vt:i4>5</vt:i4>
      </vt:variant>
      <vt:variant>
        <vt:lpwstr>http://www.sec.gov/edgar/searchedgar/companysearch.html</vt:lpwstr>
      </vt:variant>
      <vt:variant>
        <vt:lpwstr/>
      </vt:variant>
      <vt:variant>
        <vt:i4>3866691</vt:i4>
      </vt:variant>
      <vt:variant>
        <vt:i4>102</vt:i4>
      </vt:variant>
      <vt:variant>
        <vt:i4>0</vt:i4>
      </vt:variant>
      <vt:variant>
        <vt:i4>5</vt:i4>
      </vt:variant>
      <vt:variant>
        <vt:lpwstr>http://SEC/</vt:lpwstr>
      </vt:variant>
      <vt:variant>
        <vt:lpwstr/>
      </vt:variant>
      <vt:variant>
        <vt:i4>3604498</vt:i4>
      </vt:variant>
      <vt:variant>
        <vt:i4>99</vt:i4>
      </vt:variant>
      <vt:variant>
        <vt:i4>0</vt:i4>
      </vt:variant>
      <vt:variant>
        <vt:i4>5</vt:i4>
      </vt:variant>
      <vt:variant>
        <vt:lpwstr>http://www.sec.gov/edgar/searchedgar/companysearch.html</vt:lpwstr>
      </vt:variant>
      <vt:variant>
        <vt:lpwstr/>
      </vt:variant>
      <vt:variant>
        <vt:i4>3866691</vt:i4>
      </vt:variant>
      <vt:variant>
        <vt:i4>96</vt:i4>
      </vt:variant>
      <vt:variant>
        <vt:i4>0</vt:i4>
      </vt:variant>
      <vt:variant>
        <vt:i4>5</vt:i4>
      </vt:variant>
      <vt:variant>
        <vt:lpwstr>http://SEC/</vt:lpwstr>
      </vt:variant>
      <vt:variant>
        <vt:lpwstr/>
      </vt:variant>
      <vt:variant>
        <vt:i4>3997758</vt:i4>
      </vt:variant>
      <vt:variant>
        <vt:i4>6</vt:i4>
      </vt:variant>
      <vt:variant>
        <vt:i4>0</vt:i4>
      </vt:variant>
      <vt:variant>
        <vt:i4>5</vt:i4>
      </vt:variant>
      <vt:variant>
        <vt:lpwstr>http://www.ef.org/</vt:lpwstr>
      </vt:variant>
      <vt:variant>
        <vt:lpwstr/>
      </vt:variant>
      <vt:variant>
        <vt:i4>4784189</vt:i4>
      </vt:variant>
      <vt:variant>
        <vt:i4>3</vt:i4>
      </vt:variant>
      <vt:variant>
        <vt:i4>0</vt:i4>
      </vt:variant>
      <vt:variant>
        <vt:i4>5</vt:i4>
      </vt:variant>
      <vt:variant>
        <vt:lpwstr>http://www.southface.org/</vt:lpwstr>
      </vt:variant>
      <vt:variant>
        <vt:lpwstr/>
      </vt:variant>
      <vt:variant>
        <vt:i4>6946892</vt:i4>
      </vt:variant>
      <vt:variant>
        <vt:i4>0</vt:i4>
      </vt:variant>
      <vt:variant>
        <vt:i4>0</vt:i4>
      </vt:variant>
      <vt:variant>
        <vt:i4>5</vt:i4>
      </vt:variant>
      <vt:variant>
        <vt:lpwstr>http://www.cepl.gatech.edu/</vt:lpwstr>
      </vt:variant>
      <vt:variant>
        <vt:lpwstr/>
      </vt:variant>
      <vt:variant>
        <vt:i4>5111929</vt:i4>
      </vt:variant>
      <vt:variant>
        <vt:i4>0</vt:i4>
      </vt:variant>
      <vt:variant>
        <vt:i4>0</vt:i4>
      </vt:variant>
      <vt:variant>
        <vt:i4>5</vt:i4>
      </vt:variant>
      <vt:variant>
        <vt:lpwstr>http://office.microsoft.com/en-us/excel-help/add-change-or-remove-a-trendline-in-a-chart-HP010007461.aspx</vt:lpwstr>
      </vt:variant>
      <vt:variant>
        <vt:lpwstr/>
      </vt:variant>
      <vt:variant>
        <vt:i4>6946908</vt:i4>
      </vt:variant>
      <vt:variant>
        <vt:i4>2143</vt:i4>
      </vt:variant>
      <vt:variant>
        <vt:i4>1025</vt:i4>
      </vt:variant>
      <vt:variant>
        <vt:i4>1</vt:i4>
      </vt:variant>
      <vt:variant>
        <vt:lpwstr>medium logo</vt:lpwstr>
      </vt:variant>
      <vt:variant>
        <vt:lpwstr/>
      </vt:variant>
      <vt:variant>
        <vt:i4>11</vt:i4>
      </vt:variant>
      <vt:variant>
        <vt:i4>2146</vt:i4>
      </vt:variant>
      <vt:variant>
        <vt:i4>1026</vt:i4>
      </vt:variant>
      <vt:variant>
        <vt:i4>1</vt:i4>
      </vt:variant>
      <vt:variant>
        <vt:lpwstr>logo</vt:lpwstr>
      </vt:variant>
      <vt:variant>
        <vt:lpwstr/>
      </vt:variant>
      <vt:variant>
        <vt:i4>7143482</vt:i4>
      </vt:variant>
      <vt:variant>
        <vt:i4>2295</vt:i4>
      </vt:variant>
      <vt:variant>
        <vt:i4>1027</vt:i4>
      </vt:variant>
      <vt:variant>
        <vt:i4>1</vt:i4>
      </vt:variant>
      <vt:variant>
        <vt:lpwstr>ef_logo</vt:lpwstr>
      </vt:variant>
      <vt:variant>
        <vt:lpwstr/>
      </vt:variant>
      <vt:variant>
        <vt:i4>3997718</vt:i4>
      </vt:variant>
      <vt:variant>
        <vt:i4>54792</vt:i4>
      </vt:variant>
      <vt:variant>
        <vt:i4>1028</vt:i4>
      </vt:variant>
      <vt:variant>
        <vt:i4>1</vt:i4>
      </vt:variant>
      <vt:variant>
        <vt:lpwstr>Screen shot 2014-01-01 at 5</vt:lpwstr>
      </vt:variant>
      <vt:variant>
        <vt:lpwstr/>
      </vt:variant>
      <vt:variant>
        <vt:i4>3997718</vt:i4>
      </vt:variant>
      <vt:variant>
        <vt:i4>55209</vt:i4>
      </vt:variant>
      <vt:variant>
        <vt:i4>1030</vt:i4>
      </vt:variant>
      <vt:variant>
        <vt:i4>1</vt:i4>
      </vt:variant>
      <vt:variant>
        <vt:lpwstr>Screen shot 2014-01-01 at 5</vt:lpwstr>
      </vt:variant>
      <vt:variant>
        <vt:lpwstr/>
      </vt:variant>
      <vt:variant>
        <vt:i4>3997717</vt:i4>
      </vt:variant>
      <vt:variant>
        <vt:i4>55521</vt:i4>
      </vt:variant>
      <vt:variant>
        <vt:i4>1029</vt:i4>
      </vt:variant>
      <vt:variant>
        <vt:i4>1</vt:i4>
      </vt:variant>
      <vt:variant>
        <vt:lpwstr>Screen shot 2014-01-01 at 6</vt:lpwstr>
      </vt:variant>
      <vt:variant>
        <vt:lpwstr/>
      </vt:variant>
      <vt:variant>
        <vt:i4>3997717</vt:i4>
      </vt:variant>
      <vt:variant>
        <vt:i4>56409</vt:i4>
      </vt:variant>
      <vt:variant>
        <vt:i4>1031</vt:i4>
      </vt:variant>
      <vt:variant>
        <vt:i4>1</vt:i4>
      </vt:variant>
      <vt:variant>
        <vt:lpwstr>Screen shot 2014-01-01 at 6</vt:lpwstr>
      </vt:variant>
      <vt:variant>
        <vt:lpwstr/>
      </vt:variant>
      <vt:variant>
        <vt:i4>3997717</vt:i4>
      </vt:variant>
      <vt:variant>
        <vt:i4>56786</vt:i4>
      </vt:variant>
      <vt:variant>
        <vt:i4>1032</vt:i4>
      </vt:variant>
      <vt:variant>
        <vt:i4>1</vt:i4>
      </vt:variant>
      <vt:variant>
        <vt:lpwstr>Screen shot 2014-01-01 at 6</vt:lpwstr>
      </vt:variant>
      <vt:variant>
        <vt:lpwstr/>
      </vt:variant>
      <vt:variant>
        <vt:i4>3997717</vt:i4>
      </vt:variant>
      <vt:variant>
        <vt:i4>57262</vt:i4>
      </vt:variant>
      <vt:variant>
        <vt:i4>1033</vt:i4>
      </vt:variant>
      <vt:variant>
        <vt:i4>1</vt:i4>
      </vt:variant>
      <vt:variant>
        <vt:lpwstr>Screen shot 2014-01-01 at 6</vt:lpwstr>
      </vt:variant>
      <vt:variant>
        <vt:lpwstr/>
      </vt:variant>
      <vt:variant>
        <vt:i4>3997717</vt:i4>
      </vt:variant>
      <vt:variant>
        <vt:i4>57515</vt:i4>
      </vt:variant>
      <vt:variant>
        <vt:i4>1034</vt:i4>
      </vt:variant>
      <vt:variant>
        <vt:i4>1</vt:i4>
      </vt:variant>
      <vt:variant>
        <vt:lpwstr>Screen shot 2014-01-01 at 6</vt:lpwstr>
      </vt:variant>
      <vt:variant>
        <vt:lpwstr/>
      </vt:variant>
      <vt:variant>
        <vt:i4>3997723</vt:i4>
      </vt:variant>
      <vt:variant>
        <vt:i4>58314</vt:i4>
      </vt:variant>
      <vt:variant>
        <vt:i4>1035</vt:i4>
      </vt:variant>
      <vt:variant>
        <vt:i4>1</vt:i4>
      </vt:variant>
      <vt:variant>
        <vt:lpwstr>Screen shot 2014-01-01 at 8</vt:lpwstr>
      </vt:variant>
      <vt:variant>
        <vt:lpwstr/>
      </vt:variant>
      <vt:variant>
        <vt:i4>3997723</vt:i4>
      </vt:variant>
      <vt:variant>
        <vt:i4>58680</vt:i4>
      </vt:variant>
      <vt:variant>
        <vt:i4>1036</vt:i4>
      </vt:variant>
      <vt:variant>
        <vt:i4>1</vt:i4>
      </vt:variant>
      <vt:variant>
        <vt:lpwstr>Screen shot 2014-01-01 at 8</vt:lpwstr>
      </vt:variant>
      <vt:variant>
        <vt:lpwstr/>
      </vt:variant>
      <vt:variant>
        <vt:i4>3997723</vt:i4>
      </vt:variant>
      <vt:variant>
        <vt:i4>59257</vt:i4>
      </vt:variant>
      <vt:variant>
        <vt:i4>1037</vt:i4>
      </vt:variant>
      <vt:variant>
        <vt:i4>1</vt:i4>
      </vt:variant>
      <vt:variant>
        <vt:lpwstr>Screen shot 2014-01-01 at 8</vt:lpwstr>
      </vt:variant>
      <vt:variant>
        <vt:lpwstr/>
      </vt:variant>
      <vt:variant>
        <vt:i4>3997723</vt:i4>
      </vt:variant>
      <vt:variant>
        <vt:i4>59534</vt:i4>
      </vt:variant>
      <vt:variant>
        <vt:i4>1038</vt:i4>
      </vt:variant>
      <vt:variant>
        <vt:i4>1</vt:i4>
      </vt:variant>
      <vt:variant>
        <vt:lpwstr>Screen shot 2014-01-01 at 8</vt:lpwstr>
      </vt:variant>
      <vt:variant>
        <vt:lpwstr/>
      </vt:variant>
      <vt:variant>
        <vt:i4>3997723</vt:i4>
      </vt:variant>
      <vt:variant>
        <vt:i4>60133</vt:i4>
      </vt:variant>
      <vt:variant>
        <vt:i4>1039</vt:i4>
      </vt:variant>
      <vt:variant>
        <vt:i4>1</vt:i4>
      </vt:variant>
      <vt:variant>
        <vt:lpwstr>Screen shot 2014-01-01 at 8</vt:lpwstr>
      </vt:variant>
      <vt:variant>
        <vt:lpwstr/>
      </vt:variant>
      <vt:variant>
        <vt:i4>3997718</vt:i4>
      </vt:variant>
      <vt:variant>
        <vt:i4>-1</vt:i4>
      </vt:variant>
      <vt:variant>
        <vt:i4>1052</vt:i4>
      </vt:variant>
      <vt:variant>
        <vt:i4>1</vt:i4>
      </vt:variant>
      <vt:variant>
        <vt:lpwstr>Screen shot 2014-01-01 at 5</vt:lpwstr>
      </vt:variant>
      <vt:variant>
        <vt:lpwstr/>
      </vt:variant>
      <vt:variant>
        <vt:i4>3997718</vt:i4>
      </vt:variant>
      <vt:variant>
        <vt:i4>-1</vt:i4>
      </vt:variant>
      <vt:variant>
        <vt:i4>1053</vt:i4>
      </vt:variant>
      <vt:variant>
        <vt:i4>1</vt:i4>
      </vt:variant>
      <vt:variant>
        <vt:lpwstr>Screen shot 2014-01-01 at 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Benjamin Staver</dc:creator>
  <cp:lastModifiedBy>Hyman, Elizabeth Ruth</cp:lastModifiedBy>
  <cp:revision>2</cp:revision>
  <cp:lastPrinted>2013-09-25T19:15:00Z</cp:lastPrinted>
  <dcterms:created xsi:type="dcterms:W3CDTF">2014-12-08T13:31:00Z</dcterms:created>
  <dcterms:modified xsi:type="dcterms:W3CDTF">2014-12-08T13:31:00Z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WPI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