
<file path=[Content_Types].xml><?xml version="1.0" encoding="utf-8"?>
<Types xmlns="http://schemas.openxmlformats.org/package/2006/content-types">
  <Override PartName="/word/charts/chart1.xml" ContentType="application/vnd.openxmlformats-officedocument.drawingml.chart+xml"/>
  <Default Extension="png" ContentType="image/png"/>
  <Override PartName="/word/charts/chart11.xml" ContentType="application/vnd.openxmlformats-officedocument.drawingml.chart+xml"/>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Default Extension="jpeg" ContentType="image/jpeg"/>
  <Default Extension="rels" ContentType="application/vnd.openxmlformats-package.relationships+xml"/>
  <Default Extension="emf" ContentType="image/x-emf"/>
  <Override PartName="/word/charts/chart8.xml" ContentType="application/vnd.openxmlformats-officedocument.drawingml.chart+xml"/>
  <Override PartName="/word/charts/chart6.xml" ContentType="application/vnd.openxmlformats-officedocument.drawingml.chart+xml"/>
  <Override PartName="/word/drawings/drawing5.xml" ContentType="application/vnd.openxmlformats-officedocument.drawingml.chartshapes+xml"/>
  <Override PartName="/word/webSettings.xml" ContentType="application/vnd.openxmlformats-officedocument.wordprocessingml.webSettings+xml"/>
  <Override PartName="/word/charts/chart4.xml" ContentType="application/vnd.openxmlformats-officedocument.drawingml.chart+xml"/>
  <Override PartName="/word/footer1.xml" ContentType="application/vnd.openxmlformats-officedocument.wordprocessingml.footer+xml"/>
  <Override PartName="/word/settings.xml" ContentType="application/vnd.openxmlformats-officedocument.wordprocessingml.settings+xml"/>
  <Override PartName="/word/drawings/drawing3.xml" ContentType="application/vnd.openxmlformats-officedocument.drawingml.chartshapes+xml"/>
  <Override PartName="/docProps/core.xml" ContentType="application/vnd.openxmlformats-package.core-properties+xml"/>
  <Override PartName="/docProps/app.xml" ContentType="application/vnd.openxmlformats-officedocument.extended-properties+xml"/>
  <Override PartName="/word/charts/chart2.xml" ContentType="application/vnd.openxmlformats-officedocument.drawingml.chart+xml"/>
  <Override PartName="/word/endnotes.xml" ContentType="application/vnd.openxmlformats-officedocument.wordprocessingml.endnotes+xml"/>
  <Override PartName="/word/drawings/drawing1.xml" ContentType="application/vnd.openxmlformats-officedocument.drawingml.chartshapes+xml"/>
  <Override PartName="/word/fontTable.xml" ContentType="application/vnd.openxmlformats-officedocument.wordprocessingml.fontTable+xml"/>
  <Override PartName="/customXml/itemProps1.xml" ContentType="application/vnd.openxmlformats-officedocument.customXmlProperties+xml"/>
  <Override PartName="/word/charts/chart10.xml" ContentType="application/vnd.openxmlformats-officedocument.drawingml.chart+xml"/>
  <Override PartName="/word/charts/chart9.xml" ContentType="application/vnd.openxmlformats-officedocument.drawingml.chart+xml"/>
  <Override PartName="/word/charts/chart7.xml" ContentType="application/vnd.openxmlformats-officedocument.drawingml.chart+xml"/>
  <Override PartName="/word/numbering.xml" ContentType="application/vnd.openxmlformats-officedocument.wordprocessingml.numbering+xml"/>
  <Override PartName="/word/charts/chart5.xml" ContentType="application/vnd.openxmlformats-officedocument.drawingml.chart+xml"/>
  <Override PartName="/word/footer2.xml" ContentType="application/vnd.openxmlformats-officedocument.wordprocessingml.footer+xml"/>
  <Override PartName="/word/theme/theme1.xml" ContentType="application/vnd.openxmlformats-officedocument.theme+xml"/>
  <Override PartName="/word/drawings/drawing4.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5A8" w:rsidRPr="00B43F02" w:rsidRDefault="00C46A7B" w:rsidP="001975A8">
      <w:r>
        <w:rPr>
          <w:noProof/>
          <w:lang w:eastAsia="en-US"/>
        </w:rPr>
        <w:drawing>
          <wp:anchor distT="0" distB="0" distL="114300" distR="114300" simplePos="0" relativeHeight="251660288" behindDoc="0" locked="0" layoutInCell="1" allowOverlap="1">
            <wp:simplePos x="0" y="0"/>
            <wp:positionH relativeFrom="column">
              <wp:posOffset>-513080</wp:posOffset>
            </wp:positionH>
            <wp:positionV relativeFrom="paragraph">
              <wp:posOffset>218440</wp:posOffset>
            </wp:positionV>
            <wp:extent cx="7028180" cy="1469390"/>
            <wp:effectExtent l="25400" t="0" r="7620" b="0"/>
            <wp:wrapTight wrapText="bothSides">
              <wp:wrapPolygon edited="0">
                <wp:start x="-78" y="0"/>
                <wp:lineTo x="-78" y="21283"/>
                <wp:lineTo x="21623" y="21283"/>
                <wp:lineTo x="21623" y="0"/>
                <wp:lineTo x="-78" y="0"/>
              </wp:wrapPolygon>
            </wp:wrapTight>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028180" cy="1469390"/>
                    </a:xfrm>
                    <a:prstGeom prst="rect">
                      <a:avLst/>
                    </a:prstGeom>
                    <a:noFill/>
                    <a:ln w="9525">
                      <a:noFill/>
                      <a:miter lim="800000"/>
                      <a:headEnd/>
                      <a:tailEnd/>
                    </a:ln>
                  </pic:spPr>
                </pic:pic>
              </a:graphicData>
            </a:graphic>
          </wp:anchor>
        </w:drawing>
      </w:r>
    </w:p>
    <w:p w:rsidR="001975A8" w:rsidRPr="00B43F02" w:rsidRDefault="001975A8" w:rsidP="001975A8"/>
    <w:p w:rsidR="001975A8" w:rsidRPr="00B43F02" w:rsidRDefault="001975A8" w:rsidP="001975A8"/>
    <w:p w:rsidR="001975A8" w:rsidRPr="00B43F02" w:rsidRDefault="001975A8" w:rsidP="001975A8">
      <w:pPr>
        <w:jc w:val="center"/>
        <w:outlineLvl w:val="0"/>
        <w:rPr>
          <w:rFonts w:ascii="Century Gothic" w:hAnsi="Century Gothic"/>
          <w:b/>
          <w:sz w:val="52"/>
        </w:rPr>
      </w:pPr>
      <w:bookmarkStart w:id="0" w:name="_Toc254703758"/>
      <w:r w:rsidRPr="00B43F02">
        <w:rPr>
          <w:rFonts w:ascii="Century Gothic" w:hAnsi="Century Gothic"/>
          <w:b/>
          <w:sz w:val="52"/>
        </w:rPr>
        <w:t>ENERGY EFFICIENCY IN THE SOUTH</w:t>
      </w:r>
      <w:bookmarkEnd w:id="0"/>
    </w:p>
    <w:p w:rsidR="001975A8" w:rsidRPr="00B43F02" w:rsidRDefault="001975A8" w:rsidP="001975A8">
      <w:pPr>
        <w:spacing w:after="0"/>
        <w:jc w:val="center"/>
        <w:rPr>
          <w:rFonts w:ascii="Arial" w:hAnsi="Arial"/>
          <w:b/>
          <w:sz w:val="32"/>
          <w:szCs w:val="24"/>
        </w:rPr>
      </w:pPr>
      <w:r w:rsidRPr="00B43F02">
        <w:rPr>
          <w:rFonts w:ascii="Arial" w:hAnsi="Arial"/>
          <w:b/>
          <w:sz w:val="32"/>
          <w:szCs w:val="24"/>
        </w:rPr>
        <w:t>APPENDIX G</w:t>
      </w:r>
    </w:p>
    <w:p w:rsidR="001975A8" w:rsidRPr="00B43F02" w:rsidRDefault="001975A8" w:rsidP="001975A8">
      <w:pPr>
        <w:spacing w:after="0"/>
        <w:jc w:val="center"/>
        <w:rPr>
          <w:rFonts w:ascii="Arial" w:hAnsi="Arial"/>
          <w:b/>
          <w:sz w:val="32"/>
          <w:szCs w:val="24"/>
        </w:rPr>
      </w:pPr>
    </w:p>
    <w:p w:rsidR="001975A8" w:rsidRPr="00B43F02" w:rsidRDefault="001975A8" w:rsidP="001975A8">
      <w:pPr>
        <w:spacing w:after="0"/>
        <w:jc w:val="center"/>
        <w:rPr>
          <w:rFonts w:ascii="Arial" w:hAnsi="Arial"/>
          <w:b/>
          <w:sz w:val="32"/>
          <w:szCs w:val="24"/>
        </w:rPr>
      </w:pPr>
    </w:p>
    <w:p w:rsidR="001975A8" w:rsidRDefault="001975A8" w:rsidP="001975A8">
      <w:pPr>
        <w:spacing w:after="0"/>
        <w:jc w:val="center"/>
        <w:rPr>
          <w:rFonts w:ascii="Arial" w:hAnsi="Arial"/>
          <w:b/>
          <w:sz w:val="32"/>
          <w:szCs w:val="24"/>
        </w:rPr>
      </w:pPr>
      <w:r w:rsidRPr="00B43F02">
        <w:rPr>
          <w:rFonts w:ascii="Arial" w:hAnsi="Arial"/>
          <w:b/>
          <w:sz w:val="32"/>
          <w:szCs w:val="24"/>
        </w:rPr>
        <w:t>STATE PROFILES OF ENERGY EFFICIENCY OPPORTUNITIES IN THE SOUTH</w:t>
      </w:r>
      <w:r w:rsidR="00111229">
        <w:rPr>
          <w:rFonts w:ascii="Arial" w:hAnsi="Arial"/>
          <w:b/>
          <w:sz w:val="32"/>
          <w:szCs w:val="24"/>
        </w:rPr>
        <w:t>:</w:t>
      </w:r>
    </w:p>
    <w:p w:rsidR="00111229" w:rsidRPr="00B43F02" w:rsidRDefault="00111229" w:rsidP="001975A8">
      <w:pPr>
        <w:spacing w:after="0"/>
        <w:jc w:val="center"/>
        <w:rPr>
          <w:rFonts w:ascii="Arial" w:hAnsi="Arial"/>
          <w:b/>
          <w:sz w:val="32"/>
          <w:szCs w:val="24"/>
        </w:rPr>
      </w:pPr>
      <w:r>
        <w:rPr>
          <w:rFonts w:ascii="Arial" w:hAnsi="Arial"/>
          <w:b/>
          <w:sz w:val="32"/>
          <w:szCs w:val="24"/>
        </w:rPr>
        <w:t>TENNESSEE</w:t>
      </w:r>
    </w:p>
    <w:p w:rsidR="001975A8" w:rsidRPr="00B43F02" w:rsidRDefault="001975A8" w:rsidP="001975A8">
      <w:pPr>
        <w:rPr>
          <w:sz w:val="28"/>
        </w:rPr>
      </w:pPr>
    </w:p>
    <w:p w:rsidR="001975A8" w:rsidRPr="00B43F02" w:rsidRDefault="001975A8" w:rsidP="001975A8">
      <w:pPr>
        <w:rPr>
          <w:sz w:val="28"/>
        </w:rPr>
      </w:pPr>
    </w:p>
    <w:p w:rsidR="001975A8" w:rsidRPr="00B43F02" w:rsidRDefault="001975A8" w:rsidP="001975A8">
      <w:pPr>
        <w:jc w:val="center"/>
        <w:rPr>
          <w:rFonts w:ascii="Arial" w:hAnsi="Arial"/>
          <w:sz w:val="24"/>
        </w:rPr>
      </w:pPr>
      <w:r w:rsidRPr="00B43F02">
        <w:rPr>
          <w:rFonts w:ascii="Arial" w:hAnsi="Arial"/>
          <w:sz w:val="24"/>
        </w:rPr>
        <w:t>Marilyn A. Brown</w:t>
      </w:r>
      <w:proofErr w:type="gramStart"/>
      <w:r w:rsidRPr="00B43F02">
        <w:rPr>
          <w:rFonts w:ascii="Arial" w:hAnsi="Arial"/>
          <w:sz w:val="24"/>
        </w:rPr>
        <w:t>,</w:t>
      </w:r>
      <w:r w:rsidRPr="00B43F02">
        <w:rPr>
          <w:rFonts w:ascii="Arial" w:hAnsi="Arial"/>
          <w:sz w:val="24"/>
          <w:szCs w:val="23"/>
          <w:vertAlign w:val="superscript"/>
        </w:rPr>
        <w:t>1</w:t>
      </w:r>
      <w:proofErr w:type="gramEnd"/>
      <w:r w:rsidRPr="00B43F02">
        <w:rPr>
          <w:rFonts w:ascii="Arial" w:hAnsi="Arial"/>
          <w:sz w:val="24"/>
        </w:rPr>
        <w:t xml:space="preserve"> Joy Wang,</w:t>
      </w:r>
      <w:r w:rsidRPr="00B43F02">
        <w:rPr>
          <w:rFonts w:ascii="Arial" w:hAnsi="Arial"/>
          <w:sz w:val="24"/>
          <w:szCs w:val="23"/>
          <w:vertAlign w:val="superscript"/>
        </w:rPr>
        <w:t>1</w:t>
      </w:r>
      <w:r w:rsidRPr="00B43F02">
        <w:rPr>
          <w:rFonts w:ascii="Arial" w:hAnsi="Arial"/>
          <w:sz w:val="24"/>
        </w:rPr>
        <w:t xml:space="preserve"> Matt Cox,</w:t>
      </w:r>
      <w:r w:rsidRPr="00B43F02">
        <w:rPr>
          <w:rFonts w:ascii="Arial" w:hAnsi="Arial"/>
          <w:sz w:val="24"/>
          <w:szCs w:val="23"/>
          <w:vertAlign w:val="superscript"/>
        </w:rPr>
        <w:t xml:space="preserve"> 1</w:t>
      </w:r>
      <w:r w:rsidRPr="00B43F02">
        <w:rPr>
          <w:rFonts w:ascii="Arial" w:hAnsi="Arial"/>
          <w:sz w:val="24"/>
        </w:rPr>
        <w:t xml:space="preserve"> Youngsun Baek,</w:t>
      </w:r>
      <w:r w:rsidRPr="00B43F02">
        <w:rPr>
          <w:rFonts w:ascii="Arial" w:hAnsi="Arial"/>
          <w:sz w:val="24"/>
          <w:szCs w:val="23"/>
          <w:vertAlign w:val="superscript"/>
        </w:rPr>
        <w:t>1</w:t>
      </w:r>
      <w:r w:rsidRPr="00B43F02">
        <w:rPr>
          <w:rFonts w:ascii="Arial" w:hAnsi="Arial"/>
          <w:sz w:val="24"/>
        </w:rPr>
        <w:t xml:space="preserve"> Rodrigo Cortes,</w:t>
      </w:r>
      <w:r w:rsidRPr="00B43F02">
        <w:rPr>
          <w:rFonts w:ascii="Arial" w:hAnsi="Arial"/>
          <w:sz w:val="24"/>
          <w:szCs w:val="23"/>
          <w:vertAlign w:val="superscript"/>
        </w:rPr>
        <w:t>1</w:t>
      </w:r>
      <w:r w:rsidRPr="00B43F02">
        <w:rPr>
          <w:rFonts w:ascii="Arial" w:hAnsi="Arial"/>
          <w:sz w:val="24"/>
        </w:rPr>
        <w:t xml:space="preserve"> Benjamin Deitchman,</w:t>
      </w:r>
      <w:r w:rsidRPr="00B43F02">
        <w:rPr>
          <w:rFonts w:ascii="Arial" w:hAnsi="Arial"/>
          <w:sz w:val="24"/>
          <w:szCs w:val="23"/>
          <w:vertAlign w:val="superscript"/>
        </w:rPr>
        <w:t xml:space="preserve"> 1</w:t>
      </w:r>
      <w:r w:rsidRPr="00B43F02">
        <w:rPr>
          <w:rFonts w:ascii="Arial" w:hAnsi="Arial"/>
          <w:sz w:val="24"/>
        </w:rPr>
        <w:t xml:space="preserve"> Elizabeth Noll,</w:t>
      </w:r>
      <w:r w:rsidRPr="00B43F02">
        <w:rPr>
          <w:rFonts w:ascii="Arial" w:hAnsi="Arial"/>
          <w:sz w:val="24"/>
          <w:szCs w:val="23"/>
          <w:vertAlign w:val="superscript"/>
        </w:rPr>
        <w:t xml:space="preserve"> 1</w:t>
      </w:r>
      <w:r w:rsidRPr="00B43F02">
        <w:rPr>
          <w:rFonts w:ascii="Arial" w:hAnsi="Arial"/>
          <w:sz w:val="24"/>
        </w:rPr>
        <w:t xml:space="preserve"> Yu Wang,</w:t>
      </w:r>
      <w:r w:rsidRPr="00B43F02">
        <w:rPr>
          <w:rFonts w:ascii="Arial" w:hAnsi="Arial"/>
          <w:sz w:val="24"/>
          <w:szCs w:val="23"/>
          <w:vertAlign w:val="superscript"/>
        </w:rPr>
        <w:t xml:space="preserve"> 1</w:t>
      </w:r>
      <w:r w:rsidRPr="00B43F02">
        <w:rPr>
          <w:rFonts w:ascii="Arial" w:hAnsi="Arial"/>
          <w:sz w:val="24"/>
        </w:rPr>
        <w:t xml:space="preserve"> Etan Gumerman,</w:t>
      </w:r>
      <w:r w:rsidRPr="00B43F02">
        <w:rPr>
          <w:rFonts w:ascii="Arial" w:hAnsi="Arial"/>
          <w:sz w:val="24"/>
          <w:szCs w:val="23"/>
          <w:vertAlign w:val="superscript"/>
        </w:rPr>
        <w:t xml:space="preserve">2 </w:t>
      </w:r>
      <w:r w:rsidRPr="00B43F02">
        <w:rPr>
          <w:rFonts w:ascii="Arial" w:hAnsi="Arial"/>
          <w:sz w:val="24"/>
        </w:rPr>
        <w:t>Xiaojing Sun</w:t>
      </w:r>
      <w:r w:rsidRPr="00B43F02">
        <w:rPr>
          <w:rFonts w:ascii="Arial" w:hAnsi="Arial"/>
          <w:sz w:val="24"/>
          <w:szCs w:val="23"/>
          <w:vertAlign w:val="superscript"/>
        </w:rPr>
        <w:t>2</w:t>
      </w:r>
    </w:p>
    <w:p w:rsidR="001975A8" w:rsidRPr="00B43F02" w:rsidRDefault="001975A8" w:rsidP="001975A8">
      <w:pPr>
        <w:spacing w:after="0" w:line="360" w:lineRule="auto"/>
        <w:rPr>
          <w:rFonts w:ascii="Century Gothic" w:hAnsi="Century Gothic"/>
          <w:sz w:val="28"/>
        </w:rPr>
      </w:pPr>
    </w:p>
    <w:p w:rsidR="001975A8" w:rsidRPr="00B43F02" w:rsidRDefault="00111229" w:rsidP="001975A8">
      <w:pPr>
        <w:spacing w:after="0"/>
        <w:jc w:val="center"/>
        <w:rPr>
          <w:rFonts w:ascii="Century Gothic" w:hAnsi="Century Gothic"/>
          <w:sz w:val="28"/>
        </w:rPr>
      </w:pPr>
      <w:r>
        <w:rPr>
          <w:rFonts w:ascii="Century Gothic" w:hAnsi="Century Gothic"/>
          <w:sz w:val="28"/>
        </w:rPr>
        <w:t>April</w:t>
      </w:r>
      <w:r w:rsidR="001975A8" w:rsidRPr="00B43F02">
        <w:rPr>
          <w:rFonts w:ascii="Century Gothic" w:hAnsi="Century Gothic"/>
          <w:sz w:val="28"/>
        </w:rPr>
        <w:t xml:space="preserve"> </w:t>
      </w:r>
      <w:r w:rsidR="00F4454C">
        <w:rPr>
          <w:rFonts w:ascii="Century Gothic" w:hAnsi="Century Gothic"/>
          <w:sz w:val="28"/>
        </w:rPr>
        <w:t xml:space="preserve">13, </w:t>
      </w:r>
      <w:r w:rsidR="001975A8" w:rsidRPr="00B43F02">
        <w:rPr>
          <w:rFonts w:ascii="Century Gothic" w:hAnsi="Century Gothic"/>
          <w:sz w:val="28"/>
        </w:rPr>
        <w:t>2010</w:t>
      </w:r>
    </w:p>
    <w:p w:rsidR="001975A8" w:rsidRPr="00AF236A" w:rsidRDefault="001975A8" w:rsidP="00AF236A">
      <w:pPr>
        <w:pStyle w:val="TOC1"/>
        <w:jc w:val="center"/>
        <w:rPr>
          <w:rFonts w:ascii="Century Gothic" w:hAnsi="Century Gothic"/>
        </w:rPr>
      </w:pPr>
    </w:p>
    <w:p w:rsidR="001975A8" w:rsidRPr="00B43F02" w:rsidRDefault="001975A8" w:rsidP="001975A8">
      <w:pPr>
        <w:jc w:val="center"/>
        <w:rPr>
          <w:noProof/>
        </w:rPr>
      </w:pPr>
    </w:p>
    <w:p w:rsidR="001975A8" w:rsidRPr="00B43F02" w:rsidRDefault="001975A8" w:rsidP="001975A8">
      <w:pPr>
        <w:spacing w:after="0"/>
        <w:rPr>
          <w:noProof/>
          <w:sz w:val="36"/>
          <w:szCs w:val="36"/>
        </w:rPr>
      </w:pPr>
      <w:r w:rsidRPr="00B43F02">
        <w:rPr>
          <w:rFonts w:ascii="Century Gothic" w:hAnsi="Century Gothic"/>
          <w:sz w:val="20"/>
          <w:szCs w:val="20"/>
          <w:vertAlign w:val="superscript"/>
        </w:rPr>
        <w:t>1</w:t>
      </w:r>
      <w:r w:rsidRPr="00B43F02">
        <w:rPr>
          <w:sz w:val="20"/>
          <w:szCs w:val="20"/>
        </w:rPr>
        <w:t>Georgia Institute of Technology</w:t>
      </w:r>
    </w:p>
    <w:p w:rsidR="001975A8" w:rsidRPr="00B43F02" w:rsidRDefault="001975A8" w:rsidP="001975A8">
      <w:pPr>
        <w:pStyle w:val="Footer"/>
        <w:rPr>
          <w:sz w:val="20"/>
          <w:szCs w:val="20"/>
        </w:rPr>
      </w:pPr>
      <w:r w:rsidRPr="00B43F02">
        <w:rPr>
          <w:rFonts w:ascii="Century Gothic" w:hAnsi="Century Gothic"/>
          <w:sz w:val="20"/>
          <w:szCs w:val="20"/>
          <w:vertAlign w:val="superscript"/>
        </w:rPr>
        <w:t>2</w:t>
      </w:r>
      <w:r w:rsidRPr="00B43F02">
        <w:rPr>
          <w:sz w:val="20"/>
          <w:szCs w:val="20"/>
        </w:rPr>
        <w:t>Duke University</w:t>
      </w:r>
    </w:p>
    <w:p w:rsidR="00AF236A" w:rsidRDefault="00AF236A">
      <w:pPr>
        <w:spacing w:after="0" w:line="240" w:lineRule="auto"/>
        <w:rPr>
          <w:rFonts w:ascii="Times" w:hAnsi="Times"/>
          <w:b/>
          <w:sz w:val="28"/>
          <w:szCs w:val="24"/>
        </w:rPr>
      </w:pPr>
      <w:r>
        <w:rPr>
          <w:rFonts w:ascii="Times" w:hAnsi="Times"/>
          <w:b/>
          <w:sz w:val="28"/>
          <w:szCs w:val="24"/>
        </w:rPr>
        <w:br w:type="page"/>
      </w:r>
    </w:p>
    <w:p w:rsidR="006C2AE3" w:rsidRPr="00B43F02" w:rsidRDefault="006C2AE3" w:rsidP="006C2AE3">
      <w:pPr>
        <w:spacing w:after="0"/>
        <w:jc w:val="center"/>
        <w:rPr>
          <w:rFonts w:ascii="Times" w:hAnsi="Times"/>
          <w:b/>
          <w:sz w:val="28"/>
          <w:szCs w:val="24"/>
        </w:rPr>
      </w:pPr>
      <w:r w:rsidRPr="00B43F02">
        <w:rPr>
          <w:rFonts w:ascii="Times" w:hAnsi="Times"/>
          <w:b/>
          <w:sz w:val="28"/>
          <w:szCs w:val="24"/>
        </w:rPr>
        <w:t>A Profile of Energy-Efficiency Opportunities in Tennessee</w:t>
      </w:r>
    </w:p>
    <w:p w:rsidR="000252F2" w:rsidRPr="00B43F02" w:rsidRDefault="000252F2" w:rsidP="000252F2">
      <w:pPr>
        <w:spacing w:after="0"/>
        <w:rPr>
          <w:rFonts w:ascii="Times New Roman" w:hAnsi="Times New Roman"/>
          <w:sz w:val="24"/>
          <w:szCs w:val="24"/>
        </w:rPr>
      </w:pPr>
    </w:p>
    <w:p w:rsidR="000252F2" w:rsidRPr="00B43F02" w:rsidRDefault="00693F06" w:rsidP="000252F2">
      <w:pPr>
        <w:spacing w:after="0"/>
        <w:rPr>
          <w:rFonts w:ascii="Times New Roman" w:hAnsi="Times New Roman"/>
          <w:color w:val="000000" w:themeColor="text1"/>
          <w:sz w:val="24"/>
          <w:szCs w:val="24"/>
        </w:rPr>
      </w:pPr>
      <w:r w:rsidRPr="00B43F02">
        <w:rPr>
          <w:rFonts w:ascii="Times" w:hAnsi="Times"/>
          <w:sz w:val="24"/>
        </w:rPr>
        <w:t xml:space="preserve">The economic recession, climate change concerns </w:t>
      </w:r>
      <w:r w:rsidR="00F01327" w:rsidRPr="00B43F02">
        <w:rPr>
          <w:rFonts w:ascii="Times" w:hAnsi="Times"/>
          <w:sz w:val="24"/>
        </w:rPr>
        <w:t>and rising electricity costs have</w:t>
      </w:r>
      <w:r w:rsidRPr="00B43F02">
        <w:rPr>
          <w:rFonts w:ascii="Times" w:hAnsi="Times"/>
          <w:sz w:val="24"/>
        </w:rPr>
        <w:t xml:space="preserve"> </w:t>
      </w:r>
      <w:r w:rsidR="00F01327" w:rsidRPr="00B43F02">
        <w:rPr>
          <w:rFonts w:ascii="Times" w:hAnsi="Times"/>
          <w:sz w:val="24"/>
        </w:rPr>
        <w:t>motivated</w:t>
      </w:r>
      <w:r w:rsidRPr="00B43F02">
        <w:rPr>
          <w:rFonts w:ascii="Times" w:hAnsi="Times"/>
          <w:sz w:val="24"/>
        </w:rPr>
        <w:t xml:space="preserve"> many states to embrace energy efficiency as a way to create new local jobs</w:t>
      </w:r>
      <w:r w:rsidR="00F01327" w:rsidRPr="00B43F02">
        <w:rPr>
          <w:rFonts w:ascii="Times" w:hAnsi="Times"/>
          <w:sz w:val="24"/>
        </w:rPr>
        <w:t>, lower</w:t>
      </w:r>
      <w:r w:rsidRPr="00B43F02">
        <w:rPr>
          <w:rFonts w:ascii="Times" w:hAnsi="Times"/>
          <w:sz w:val="24"/>
        </w:rPr>
        <w:t xml:space="preserve"> energy bills and </w:t>
      </w:r>
      <w:r w:rsidR="004D5772" w:rsidRPr="00B43F02">
        <w:rPr>
          <w:rFonts w:ascii="Times" w:hAnsi="Times"/>
          <w:sz w:val="24"/>
        </w:rPr>
        <w:t>promote</w:t>
      </w:r>
      <w:r w:rsidRPr="00B43F02">
        <w:rPr>
          <w:rFonts w:ascii="Times" w:hAnsi="Times"/>
          <w:sz w:val="24"/>
        </w:rPr>
        <w:t xml:space="preserve"> environmental sustainability.</w:t>
      </w:r>
      <w:r w:rsidR="007755D6">
        <w:rPr>
          <w:rFonts w:ascii="Times" w:hAnsi="Times"/>
          <w:sz w:val="24"/>
        </w:rPr>
        <w:t xml:space="preserve"> </w:t>
      </w:r>
      <w:r w:rsidRPr="00B43F02">
        <w:rPr>
          <w:rFonts w:ascii="Times" w:hAnsi="Times"/>
          <w:sz w:val="24"/>
        </w:rPr>
        <w:t xml:space="preserve"> </w:t>
      </w:r>
      <w:r w:rsidR="006D0FAC" w:rsidRPr="00B43F02">
        <w:rPr>
          <w:rFonts w:ascii="Times" w:hAnsi="Times"/>
          <w:sz w:val="24"/>
        </w:rPr>
        <w:t xml:space="preserve">With this </w:t>
      </w:r>
      <w:r w:rsidR="006C2AE3" w:rsidRPr="00B43F02">
        <w:rPr>
          <w:rFonts w:ascii="Times" w:hAnsi="Times"/>
          <w:sz w:val="24"/>
        </w:rPr>
        <w:t>surge of</w:t>
      </w:r>
      <w:r w:rsidR="004D5772" w:rsidRPr="00B43F02">
        <w:rPr>
          <w:rFonts w:ascii="Times" w:hAnsi="Times"/>
          <w:sz w:val="24"/>
        </w:rPr>
        <w:t xml:space="preserve"> interest</w:t>
      </w:r>
      <w:r w:rsidR="006D0FAC" w:rsidRPr="00B43F02">
        <w:rPr>
          <w:rFonts w:ascii="Times" w:hAnsi="Times"/>
          <w:sz w:val="24"/>
        </w:rPr>
        <w:t xml:space="preserve"> in energy efficiency, </w:t>
      </w:r>
      <w:r w:rsidR="006D0FAC" w:rsidRPr="00B43F02">
        <w:rPr>
          <w:rFonts w:ascii="Times" w:hAnsi="Times"/>
          <w:color w:val="000000" w:themeColor="text1"/>
          <w:sz w:val="24"/>
          <w:szCs w:val="24"/>
        </w:rPr>
        <w:t xml:space="preserve">policymakers </w:t>
      </w:r>
      <w:r w:rsidR="00A14058" w:rsidRPr="00B43F02">
        <w:rPr>
          <w:rFonts w:ascii="Times" w:hAnsi="Times"/>
          <w:color w:val="000000" w:themeColor="text1"/>
          <w:sz w:val="24"/>
          <w:szCs w:val="24"/>
        </w:rPr>
        <w:t>are asking:</w:t>
      </w:r>
      <w:r w:rsidR="000252F2" w:rsidRPr="00B43F02">
        <w:rPr>
          <w:rFonts w:ascii="Times" w:hAnsi="Times"/>
          <w:color w:val="000000" w:themeColor="text1"/>
          <w:sz w:val="24"/>
          <w:szCs w:val="24"/>
        </w:rPr>
        <w:t xml:space="preserve"> </w:t>
      </w:r>
      <w:r w:rsidR="00A14058" w:rsidRPr="00B43F02">
        <w:rPr>
          <w:rFonts w:ascii="Times" w:hAnsi="Times"/>
          <w:color w:val="000000" w:themeColor="text1"/>
          <w:sz w:val="24"/>
          <w:szCs w:val="24"/>
        </w:rPr>
        <w:t>“</w:t>
      </w:r>
      <w:r w:rsidR="000252F2" w:rsidRPr="00B43F02">
        <w:rPr>
          <w:rFonts w:ascii="Times" w:hAnsi="Times"/>
          <w:color w:val="000000" w:themeColor="text1"/>
          <w:sz w:val="24"/>
          <w:szCs w:val="24"/>
        </w:rPr>
        <w:t>how much energy can b</w:t>
      </w:r>
      <w:r w:rsidR="00F338D8" w:rsidRPr="00B43F02">
        <w:rPr>
          <w:rFonts w:ascii="Times" w:hAnsi="Times"/>
          <w:color w:val="000000" w:themeColor="text1"/>
          <w:sz w:val="24"/>
          <w:szCs w:val="24"/>
        </w:rPr>
        <w:t xml:space="preserve">e </w:t>
      </w:r>
      <w:r w:rsidR="004D5772" w:rsidRPr="00B43F02">
        <w:rPr>
          <w:rFonts w:ascii="Times" w:hAnsi="Times"/>
          <w:color w:val="000000" w:themeColor="text1"/>
          <w:sz w:val="24"/>
          <w:szCs w:val="24"/>
        </w:rPr>
        <w:t>saved</w:t>
      </w:r>
      <w:r w:rsidR="00A14058" w:rsidRPr="00B43F02">
        <w:rPr>
          <w:rFonts w:ascii="Times" w:hAnsi="Times"/>
          <w:color w:val="000000" w:themeColor="text1"/>
          <w:sz w:val="24"/>
          <w:szCs w:val="24"/>
        </w:rPr>
        <w:t>?”</w:t>
      </w:r>
      <w:r w:rsidR="000252F2" w:rsidRPr="00B43F02">
        <w:rPr>
          <w:rFonts w:ascii="Times" w:hAnsi="Times"/>
          <w:color w:val="000000" w:themeColor="text1"/>
          <w:sz w:val="24"/>
          <w:szCs w:val="24"/>
        </w:rPr>
        <w:t xml:space="preserve"> </w:t>
      </w:r>
      <w:r w:rsidR="007755D6">
        <w:rPr>
          <w:rFonts w:ascii="Times" w:hAnsi="Times"/>
          <w:color w:val="000000" w:themeColor="text1"/>
          <w:sz w:val="24"/>
          <w:szCs w:val="24"/>
        </w:rPr>
        <w:t xml:space="preserve"> </w:t>
      </w:r>
      <w:r w:rsidR="000252F2" w:rsidRPr="00B43F02">
        <w:rPr>
          <w:rFonts w:ascii="Times" w:hAnsi="Times"/>
          <w:color w:val="000000" w:themeColor="text1"/>
          <w:sz w:val="24"/>
          <w:szCs w:val="24"/>
        </w:rPr>
        <w:t xml:space="preserve">This profile </w:t>
      </w:r>
      <w:r w:rsidR="004D5772" w:rsidRPr="00B43F02">
        <w:rPr>
          <w:rFonts w:ascii="Times" w:hAnsi="Times"/>
          <w:color w:val="000000" w:themeColor="text1"/>
          <w:sz w:val="24"/>
          <w:szCs w:val="24"/>
        </w:rPr>
        <w:t>characterizes</w:t>
      </w:r>
      <w:r w:rsidR="000252F2" w:rsidRPr="00B43F02">
        <w:rPr>
          <w:rFonts w:ascii="Times" w:hAnsi="Times"/>
          <w:color w:val="000000" w:themeColor="text1"/>
          <w:sz w:val="24"/>
          <w:szCs w:val="24"/>
        </w:rPr>
        <w:t xml:space="preserve"> the opportunity for </w:t>
      </w:r>
      <w:r w:rsidR="00A14058" w:rsidRPr="00B43F02">
        <w:rPr>
          <w:rFonts w:ascii="Times" w:hAnsi="Times"/>
          <w:color w:val="000000" w:themeColor="text1"/>
          <w:sz w:val="24"/>
          <w:szCs w:val="24"/>
        </w:rPr>
        <w:t>cost-effective energy-</w:t>
      </w:r>
      <w:r w:rsidR="000252F2" w:rsidRPr="00B43F02">
        <w:rPr>
          <w:rFonts w:ascii="Times" w:hAnsi="Times"/>
          <w:color w:val="000000" w:themeColor="text1"/>
          <w:sz w:val="24"/>
          <w:szCs w:val="24"/>
        </w:rPr>
        <w:t xml:space="preserve">efficiency improvements in the residential, commercial and industrial sectors of Tennessee. </w:t>
      </w:r>
      <w:r w:rsidR="007755D6">
        <w:rPr>
          <w:rFonts w:ascii="Times" w:hAnsi="Times"/>
          <w:color w:val="000000" w:themeColor="text1"/>
          <w:sz w:val="24"/>
          <w:szCs w:val="24"/>
        </w:rPr>
        <w:t xml:space="preserve"> </w:t>
      </w:r>
      <w:r w:rsidR="007A098F" w:rsidRPr="00B43F02">
        <w:rPr>
          <w:rFonts w:ascii="Times" w:hAnsi="Times"/>
          <w:color w:val="000000" w:themeColor="text1"/>
          <w:sz w:val="24"/>
          <w:szCs w:val="24"/>
        </w:rPr>
        <w:t xml:space="preserve">It draws on the results of a study of </w:t>
      </w:r>
      <w:r w:rsidR="007A098F" w:rsidRPr="00B43F02">
        <w:rPr>
          <w:rFonts w:ascii="Times" w:hAnsi="Times"/>
          <w:i/>
          <w:color w:val="000000" w:themeColor="text1"/>
          <w:sz w:val="24"/>
          <w:szCs w:val="24"/>
        </w:rPr>
        <w:t xml:space="preserve">Energy Efficiency in the South </w:t>
      </w:r>
      <w:r w:rsidR="007A098F" w:rsidRPr="00B43F02">
        <w:rPr>
          <w:rFonts w:ascii="Times" w:hAnsi="Times" w:cs="Arial"/>
          <w:color w:val="000000" w:themeColor="text1"/>
          <w:sz w:val="24"/>
        </w:rPr>
        <w:t>conducted by a team of researchers at the Georgia Institute of Technology and Duke University</w:t>
      </w:r>
      <w:r w:rsidR="007A098F" w:rsidRPr="00B43F02">
        <w:rPr>
          <w:rFonts w:ascii="Times" w:hAnsi="Times"/>
          <w:i/>
          <w:color w:val="000000" w:themeColor="text1"/>
          <w:sz w:val="24"/>
          <w:szCs w:val="24"/>
        </w:rPr>
        <w:t xml:space="preserve">. </w:t>
      </w:r>
      <w:r w:rsidR="007A098F" w:rsidRPr="00B43F02">
        <w:rPr>
          <w:rFonts w:ascii="Times" w:hAnsi="Times"/>
          <w:color w:val="000000" w:themeColor="text1"/>
          <w:sz w:val="24"/>
          <w:szCs w:val="24"/>
        </w:rPr>
        <w:t xml:space="preserve"> The study</w:t>
      </w:r>
      <w:r w:rsidR="007A098F" w:rsidRPr="00B43F02">
        <w:rPr>
          <w:rFonts w:ascii="Times" w:hAnsi="Times"/>
          <w:i/>
          <w:color w:val="000000" w:themeColor="text1"/>
          <w:sz w:val="24"/>
          <w:szCs w:val="24"/>
        </w:rPr>
        <w:t xml:space="preserve"> </w:t>
      </w:r>
      <w:r w:rsidR="007A098F" w:rsidRPr="00B43F02">
        <w:rPr>
          <w:rFonts w:ascii="Times" w:hAnsi="Times"/>
          <w:color w:val="000000" w:themeColor="text1"/>
          <w:sz w:val="24"/>
          <w:szCs w:val="23"/>
        </w:rPr>
        <w:t xml:space="preserve">presents primary and in-depth research of the potential for energy-efficiency improvements, using a modeling approach based on the </w:t>
      </w:r>
      <w:r w:rsidR="00E9513F">
        <w:rPr>
          <w:rFonts w:ascii="Times" w:hAnsi="Times"/>
          <w:color w:val="000000" w:themeColor="text1"/>
          <w:sz w:val="24"/>
          <w:szCs w:val="23"/>
        </w:rPr>
        <w:t>SNUG</w:t>
      </w:r>
      <w:r w:rsidR="007A098F" w:rsidRPr="00B43F02">
        <w:rPr>
          <w:rFonts w:ascii="Times" w:hAnsi="Times"/>
          <w:color w:val="000000" w:themeColor="text1"/>
          <w:sz w:val="24"/>
          <w:szCs w:val="23"/>
        </w:rPr>
        <w:t>-NEMS (National Energy Modeling System</w:t>
      </w:r>
      <w:r w:rsidR="007A098F" w:rsidRPr="00B43F02">
        <w:rPr>
          <w:rFonts w:ascii="Times New Roman" w:hAnsi="Times New Roman"/>
          <w:color w:val="000000" w:themeColor="text1"/>
          <w:sz w:val="24"/>
          <w:szCs w:val="23"/>
        </w:rPr>
        <w:t>)</w:t>
      </w:r>
      <w:proofErr w:type="gramStart"/>
      <w:r w:rsidR="007A098F" w:rsidRPr="00B43F02">
        <w:rPr>
          <w:rFonts w:ascii="Times New Roman" w:hAnsi="Times New Roman"/>
          <w:color w:val="000000" w:themeColor="text1"/>
          <w:sz w:val="24"/>
          <w:szCs w:val="23"/>
        </w:rPr>
        <w:t>.</w:t>
      </w:r>
      <w:r w:rsidR="00F01327" w:rsidRPr="00B43F02">
        <w:rPr>
          <w:rFonts w:ascii="Times New Roman" w:hAnsi="Times New Roman"/>
          <w:color w:val="000000" w:themeColor="text1"/>
          <w:sz w:val="24"/>
          <w:szCs w:val="23"/>
          <w:vertAlign w:val="superscript"/>
        </w:rPr>
        <w:t>1</w:t>
      </w:r>
      <w:proofErr w:type="gramEnd"/>
    </w:p>
    <w:p w:rsidR="000252F2" w:rsidRPr="00B43F02" w:rsidRDefault="000252F2" w:rsidP="001E59A9">
      <w:pPr>
        <w:spacing w:after="0"/>
        <w:rPr>
          <w:rFonts w:ascii="Times" w:hAnsi="Times"/>
          <w:color w:val="000000" w:themeColor="text1"/>
          <w:sz w:val="24"/>
          <w:szCs w:val="24"/>
        </w:rPr>
      </w:pPr>
    </w:p>
    <w:p w:rsidR="00202032" w:rsidRDefault="00202032" w:rsidP="00202032">
      <w:pPr>
        <w:spacing w:after="0"/>
        <w:rPr>
          <w:rFonts w:ascii="Times" w:hAnsi="Times"/>
          <w:sz w:val="24"/>
          <w:szCs w:val="24"/>
        </w:rPr>
      </w:pPr>
      <w:r w:rsidRPr="00B43F02">
        <w:rPr>
          <w:rFonts w:ascii="Times" w:hAnsi="Times"/>
          <w:color w:val="000000" w:themeColor="text1"/>
          <w:sz w:val="24"/>
          <w:szCs w:val="24"/>
        </w:rPr>
        <w:t>With a population of 6.</w:t>
      </w:r>
      <w:r w:rsidR="00837CA8">
        <w:rPr>
          <w:rFonts w:ascii="Times" w:hAnsi="Times"/>
          <w:color w:val="000000" w:themeColor="text1"/>
          <w:sz w:val="24"/>
          <w:szCs w:val="24"/>
        </w:rPr>
        <w:t>3</w:t>
      </w:r>
      <w:r w:rsidR="00837CA8" w:rsidRPr="00B43F02">
        <w:rPr>
          <w:rFonts w:ascii="Times" w:hAnsi="Times"/>
          <w:color w:val="000000" w:themeColor="text1"/>
          <w:sz w:val="24"/>
          <w:szCs w:val="24"/>
        </w:rPr>
        <w:t xml:space="preserve"> </w:t>
      </w:r>
      <w:r w:rsidRPr="00B43F02">
        <w:rPr>
          <w:rFonts w:ascii="Times" w:hAnsi="Times"/>
          <w:color w:val="000000" w:themeColor="text1"/>
          <w:sz w:val="24"/>
          <w:szCs w:val="24"/>
        </w:rPr>
        <w:t>million people</w:t>
      </w:r>
      <w:r w:rsidR="00E36C2F" w:rsidRPr="00B43F02">
        <w:rPr>
          <w:rFonts w:ascii="Times" w:hAnsi="Times"/>
          <w:color w:val="000000" w:themeColor="text1"/>
          <w:sz w:val="24"/>
          <w:szCs w:val="24"/>
          <w:vertAlign w:val="superscript"/>
        </w:rPr>
        <w:t>2</w:t>
      </w:r>
      <w:r w:rsidRPr="00B43F02">
        <w:rPr>
          <w:rFonts w:ascii="Times" w:hAnsi="Times"/>
          <w:color w:val="000000" w:themeColor="text1"/>
          <w:sz w:val="24"/>
          <w:szCs w:val="24"/>
        </w:rPr>
        <w:t>,</w:t>
      </w:r>
      <w:r w:rsidR="00F01327" w:rsidRPr="00B43F02">
        <w:rPr>
          <w:rFonts w:ascii="Times New Roman" w:hAnsi="Times New Roman"/>
          <w:color w:val="000000" w:themeColor="text1"/>
          <w:sz w:val="24"/>
          <w:szCs w:val="23"/>
          <w:vertAlign w:val="superscript"/>
        </w:rPr>
        <w:t xml:space="preserve"> </w:t>
      </w:r>
      <w:r w:rsidRPr="00B43F02">
        <w:rPr>
          <w:rFonts w:ascii="Times" w:hAnsi="Times"/>
          <w:color w:val="000000" w:themeColor="text1"/>
          <w:sz w:val="24"/>
          <w:szCs w:val="24"/>
        </w:rPr>
        <w:t>the State represents about 2.1% of the U.S. population,</w:t>
      </w:r>
      <w:r w:rsidR="00A23F82" w:rsidRPr="00B43F02">
        <w:rPr>
          <w:rFonts w:ascii="Times" w:hAnsi="Times"/>
          <w:color w:val="000000" w:themeColor="text1"/>
          <w:sz w:val="24"/>
          <w:szCs w:val="24"/>
        </w:rPr>
        <w:t xml:space="preserve"> 1.8</w:t>
      </w:r>
      <w:r w:rsidRPr="00B43F02">
        <w:rPr>
          <w:rFonts w:ascii="Times" w:hAnsi="Times"/>
          <w:color w:val="000000" w:themeColor="text1"/>
          <w:sz w:val="24"/>
          <w:szCs w:val="24"/>
        </w:rPr>
        <w:t xml:space="preserve">% of the nation’s </w:t>
      </w:r>
      <w:r w:rsidR="00111229">
        <w:rPr>
          <w:rFonts w:ascii="Times" w:hAnsi="Times"/>
          <w:color w:val="000000" w:themeColor="text1"/>
          <w:sz w:val="24"/>
          <w:szCs w:val="24"/>
        </w:rPr>
        <w:t>Gross Domestic Product (</w:t>
      </w:r>
      <w:r w:rsidRPr="00B43F02">
        <w:rPr>
          <w:rFonts w:ascii="Times" w:hAnsi="Times"/>
          <w:color w:val="000000" w:themeColor="text1"/>
          <w:sz w:val="24"/>
          <w:szCs w:val="24"/>
        </w:rPr>
        <w:t>GDP</w:t>
      </w:r>
      <w:r w:rsidR="00111229">
        <w:rPr>
          <w:rFonts w:ascii="Times" w:hAnsi="Times"/>
          <w:color w:val="000000" w:themeColor="text1"/>
          <w:sz w:val="24"/>
          <w:szCs w:val="24"/>
        </w:rPr>
        <w:t>)</w:t>
      </w:r>
      <w:r w:rsidRPr="00B43F02">
        <w:rPr>
          <w:rFonts w:ascii="Times" w:hAnsi="Times"/>
          <w:color w:val="000000" w:themeColor="text1"/>
          <w:sz w:val="24"/>
          <w:szCs w:val="24"/>
        </w:rPr>
        <w:t>, and 2.3% of U.S. energy consumption (Figure 1).</w:t>
      </w:r>
      <w:r w:rsidR="00996C9D" w:rsidRPr="00996C9D">
        <w:rPr>
          <w:rFonts w:ascii="Times New Roman" w:hAnsi="Times New Roman"/>
          <w:color w:val="000000" w:themeColor="text1"/>
          <w:sz w:val="24"/>
          <w:szCs w:val="23"/>
          <w:vertAlign w:val="superscript"/>
        </w:rPr>
        <w:t xml:space="preserve"> </w:t>
      </w:r>
      <w:proofErr w:type="gramStart"/>
      <w:r w:rsidR="00996C9D" w:rsidRPr="00B43F02">
        <w:rPr>
          <w:rFonts w:ascii="Times New Roman" w:hAnsi="Times New Roman"/>
          <w:color w:val="000000" w:themeColor="text1"/>
          <w:sz w:val="24"/>
          <w:szCs w:val="23"/>
          <w:vertAlign w:val="superscript"/>
        </w:rPr>
        <w:t>3</w:t>
      </w:r>
      <w:r w:rsidR="007755D6">
        <w:rPr>
          <w:rFonts w:ascii="Times New Roman" w:hAnsi="Times New Roman"/>
          <w:color w:val="000000" w:themeColor="text1"/>
          <w:sz w:val="24"/>
          <w:szCs w:val="23"/>
          <w:vertAlign w:val="superscript"/>
        </w:rPr>
        <w:t xml:space="preserve"> </w:t>
      </w:r>
      <w:r w:rsidRPr="00B43F02">
        <w:rPr>
          <w:rFonts w:ascii="Times" w:hAnsi="Times"/>
          <w:color w:val="000000" w:themeColor="text1"/>
          <w:sz w:val="24"/>
          <w:szCs w:val="24"/>
        </w:rPr>
        <w:t xml:space="preserve"> </w:t>
      </w:r>
      <w:r w:rsidR="00440C64" w:rsidRPr="00B43F02">
        <w:rPr>
          <w:rFonts w:ascii="Times" w:hAnsi="Times"/>
          <w:color w:val="000000" w:themeColor="text1"/>
          <w:sz w:val="24"/>
          <w:szCs w:val="24"/>
        </w:rPr>
        <w:t>Thus</w:t>
      </w:r>
      <w:proofErr w:type="gramEnd"/>
      <w:r w:rsidR="00440C64" w:rsidRPr="00B43F02">
        <w:rPr>
          <w:rFonts w:ascii="Times" w:hAnsi="Times"/>
          <w:color w:val="000000" w:themeColor="text1"/>
          <w:sz w:val="24"/>
          <w:szCs w:val="24"/>
        </w:rPr>
        <w:t>, compared to the rest of t</w:t>
      </w:r>
      <w:r w:rsidR="00754FF5">
        <w:rPr>
          <w:rFonts w:ascii="Times" w:hAnsi="Times"/>
          <w:color w:val="000000" w:themeColor="text1"/>
          <w:sz w:val="24"/>
          <w:szCs w:val="24"/>
        </w:rPr>
        <w:t>he nation, Tennessee has a higher</w:t>
      </w:r>
      <w:r w:rsidR="00440C64" w:rsidRPr="00B43F02">
        <w:rPr>
          <w:rFonts w:ascii="Times" w:hAnsi="Times"/>
          <w:color w:val="000000" w:themeColor="text1"/>
          <w:sz w:val="24"/>
          <w:szCs w:val="24"/>
        </w:rPr>
        <w:t>-than-aver</w:t>
      </w:r>
      <w:r w:rsidR="00754FF5">
        <w:rPr>
          <w:rFonts w:ascii="Times" w:hAnsi="Times"/>
          <w:color w:val="000000" w:themeColor="text1"/>
          <w:sz w:val="24"/>
          <w:szCs w:val="24"/>
        </w:rPr>
        <w:t>age level of energy intensity</w:t>
      </w:r>
      <w:r w:rsidR="00BB0CFD">
        <w:rPr>
          <w:rFonts w:ascii="Times" w:hAnsi="Times"/>
          <w:sz w:val="24"/>
          <w:szCs w:val="24"/>
        </w:rPr>
        <w:t xml:space="preserve"> (that is</w:t>
      </w:r>
      <w:r w:rsidR="00BB0CFD" w:rsidRPr="00707B69">
        <w:rPr>
          <w:rFonts w:ascii="Times" w:hAnsi="Times"/>
          <w:sz w:val="24"/>
          <w:szCs w:val="24"/>
        </w:rPr>
        <w:t xml:space="preserve">, </w:t>
      </w:r>
      <w:r w:rsidR="00BB0CFD">
        <w:rPr>
          <w:rFonts w:ascii="Times" w:hAnsi="Times"/>
          <w:sz w:val="24"/>
          <w:szCs w:val="24"/>
        </w:rPr>
        <w:t xml:space="preserve">it </w:t>
      </w:r>
      <w:r w:rsidR="00BB0CFD" w:rsidRPr="00707B69">
        <w:rPr>
          <w:rFonts w:ascii="Times" w:hAnsi="Times"/>
          <w:sz w:val="24"/>
          <w:szCs w:val="24"/>
        </w:rPr>
        <w:t>consumes more energy per dollar of economic activity</w:t>
      </w:r>
      <w:r w:rsidR="00BB0CFD">
        <w:rPr>
          <w:rFonts w:ascii="Times" w:hAnsi="Times"/>
          <w:sz w:val="24"/>
          <w:szCs w:val="24"/>
        </w:rPr>
        <w:t xml:space="preserve"> than most other states</w:t>
      </w:r>
      <w:r w:rsidR="00BB0CFD" w:rsidRPr="00707B69">
        <w:rPr>
          <w:rFonts w:ascii="Times" w:hAnsi="Times"/>
          <w:sz w:val="24"/>
          <w:szCs w:val="24"/>
        </w:rPr>
        <w:t>)</w:t>
      </w:r>
      <w:r w:rsidR="00BB0CFD">
        <w:rPr>
          <w:rFonts w:ascii="Times" w:hAnsi="Times"/>
          <w:sz w:val="24"/>
          <w:szCs w:val="24"/>
        </w:rPr>
        <w:t>.</w:t>
      </w:r>
    </w:p>
    <w:p w:rsidR="00E9513F" w:rsidRPr="00231B26" w:rsidRDefault="00E9513F" w:rsidP="00202032">
      <w:pPr>
        <w:spacing w:after="0"/>
        <w:rPr>
          <w:rFonts w:ascii="Times" w:hAnsi="Times"/>
          <w:color w:val="000000" w:themeColor="text1"/>
          <w:sz w:val="20"/>
          <w:szCs w:val="24"/>
        </w:rPr>
      </w:pPr>
    </w:p>
    <w:p w:rsidR="00E8326B" w:rsidRPr="00B43F02" w:rsidRDefault="007F71BD" w:rsidP="001E59A9">
      <w:pPr>
        <w:spacing w:after="0"/>
        <w:rPr>
          <w:rFonts w:ascii="Times" w:hAnsi="Times"/>
          <w:noProof/>
          <w:sz w:val="24"/>
          <w:szCs w:val="24"/>
          <w:lang w:eastAsia="en-US"/>
        </w:rPr>
      </w:pPr>
      <w:r w:rsidRPr="00B43F02">
        <w:rPr>
          <w:rFonts w:ascii="Times" w:hAnsi="Times"/>
          <w:noProof/>
          <w:sz w:val="24"/>
          <w:szCs w:val="24"/>
          <w:lang w:eastAsia="en-US"/>
        </w:rPr>
        <w:drawing>
          <wp:inline distT="0" distB="0" distL="0" distR="0">
            <wp:extent cx="5943600" cy="1714500"/>
            <wp:effectExtent l="0" t="0" r="0" b="0"/>
            <wp:docPr id="120"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2A7E" w:rsidRPr="00B43F02" w:rsidRDefault="00FB1B94" w:rsidP="001E59A9">
      <w:pPr>
        <w:spacing w:after="0"/>
        <w:jc w:val="center"/>
        <w:rPr>
          <w:rFonts w:ascii="Times" w:hAnsi="Times"/>
          <w:b/>
          <w:noProof/>
          <w:sz w:val="24"/>
          <w:szCs w:val="24"/>
        </w:rPr>
      </w:pPr>
      <w:r w:rsidRPr="00B43F02">
        <w:rPr>
          <w:rFonts w:ascii="Times" w:hAnsi="Times"/>
          <w:b/>
          <w:noProof/>
          <w:sz w:val="24"/>
          <w:szCs w:val="24"/>
        </w:rPr>
        <w:t xml:space="preserve">Figure 1:  </w:t>
      </w:r>
      <w:r w:rsidR="00202032" w:rsidRPr="00B43F02">
        <w:rPr>
          <w:rFonts w:ascii="Times" w:hAnsi="Times"/>
          <w:b/>
          <w:noProof/>
          <w:sz w:val="24"/>
          <w:szCs w:val="24"/>
        </w:rPr>
        <w:t xml:space="preserve">Energy Consumption in </w:t>
      </w:r>
      <w:r w:rsidR="007F71BD" w:rsidRPr="00B43F02">
        <w:rPr>
          <w:rFonts w:ascii="Times" w:hAnsi="Times"/>
          <w:b/>
          <w:noProof/>
          <w:sz w:val="24"/>
          <w:szCs w:val="24"/>
        </w:rPr>
        <w:t>Tennessee</w:t>
      </w:r>
      <w:r w:rsidRPr="00B43F02">
        <w:rPr>
          <w:rFonts w:ascii="Times" w:hAnsi="Times"/>
          <w:b/>
          <w:noProof/>
          <w:sz w:val="24"/>
          <w:szCs w:val="24"/>
        </w:rPr>
        <w:t xml:space="preserve">, </w:t>
      </w:r>
      <w:r w:rsidR="00202032" w:rsidRPr="00B43F02">
        <w:rPr>
          <w:rFonts w:ascii="Times" w:hAnsi="Times"/>
          <w:b/>
          <w:noProof/>
          <w:sz w:val="24"/>
          <w:szCs w:val="24"/>
        </w:rPr>
        <w:t xml:space="preserve">the </w:t>
      </w:r>
      <w:r w:rsidRPr="00B43F02">
        <w:rPr>
          <w:rFonts w:ascii="Times" w:hAnsi="Times"/>
          <w:b/>
          <w:noProof/>
          <w:sz w:val="24"/>
          <w:szCs w:val="24"/>
        </w:rPr>
        <w:t xml:space="preserve">South, and </w:t>
      </w:r>
      <w:r w:rsidR="00202032" w:rsidRPr="00B43F02">
        <w:rPr>
          <w:rFonts w:ascii="Times" w:hAnsi="Times"/>
          <w:b/>
          <w:noProof/>
          <w:sz w:val="24"/>
          <w:szCs w:val="24"/>
        </w:rPr>
        <w:t>the U.S.</w:t>
      </w:r>
      <w:r w:rsidR="00544F2D" w:rsidRPr="00B43F02">
        <w:rPr>
          <w:rFonts w:ascii="Times" w:hAnsi="Times"/>
          <w:b/>
          <w:noProof/>
          <w:sz w:val="24"/>
          <w:szCs w:val="24"/>
        </w:rPr>
        <w:t>,</w:t>
      </w:r>
      <w:r w:rsidRPr="00B43F02">
        <w:rPr>
          <w:rFonts w:ascii="Times" w:hAnsi="Times"/>
          <w:b/>
          <w:noProof/>
          <w:sz w:val="24"/>
          <w:szCs w:val="24"/>
        </w:rPr>
        <w:t xml:space="preserve"> </w:t>
      </w:r>
      <w:r w:rsidR="00544F2D" w:rsidRPr="00B43F02">
        <w:rPr>
          <w:rFonts w:ascii="Times" w:hAnsi="Times"/>
          <w:b/>
          <w:noProof/>
          <w:sz w:val="24"/>
          <w:szCs w:val="24"/>
        </w:rPr>
        <w:t>2007</w:t>
      </w:r>
    </w:p>
    <w:p w:rsidR="008A2A7E" w:rsidRPr="00231B26" w:rsidRDefault="008A2A7E" w:rsidP="001E59A9">
      <w:pPr>
        <w:spacing w:after="0"/>
        <w:jc w:val="center"/>
        <w:rPr>
          <w:rFonts w:ascii="Times" w:hAnsi="Times"/>
          <w:b/>
          <w:noProof/>
          <w:sz w:val="20"/>
          <w:szCs w:val="24"/>
        </w:rPr>
      </w:pPr>
    </w:p>
    <w:p w:rsidR="008A2A7E" w:rsidRPr="00B43F02" w:rsidRDefault="00234392" w:rsidP="008A2A7E">
      <w:pPr>
        <w:spacing w:after="0"/>
        <w:rPr>
          <w:rFonts w:ascii="Times" w:hAnsi="Times"/>
          <w:sz w:val="24"/>
          <w:szCs w:val="24"/>
        </w:rPr>
      </w:pPr>
      <w:r w:rsidRPr="00B43F02">
        <w:rPr>
          <w:rFonts w:ascii="Times" w:hAnsi="Times"/>
          <w:sz w:val="24"/>
          <w:szCs w:val="24"/>
        </w:rPr>
        <w:t>Unlike most states in the South</w:t>
      </w:r>
      <w:r w:rsidR="006C2AE3" w:rsidRPr="00B43F02">
        <w:rPr>
          <w:rFonts w:ascii="Times" w:hAnsi="Times"/>
          <w:sz w:val="24"/>
          <w:szCs w:val="24"/>
        </w:rPr>
        <w:t xml:space="preserve"> that</w:t>
      </w:r>
      <w:r w:rsidRPr="00B43F02">
        <w:rPr>
          <w:rFonts w:ascii="Times" w:hAnsi="Times"/>
          <w:sz w:val="24"/>
          <w:szCs w:val="24"/>
        </w:rPr>
        <w:t xml:space="preserve"> account for a disproportionately large amount of </w:t>
      </w:r>
      <w:r w:rsidR="006C2AE3" w:rsidRPr="00B43F02">
        <w:rPr>
          <w:rFonts w:ascii="Times" w:hAnsi="Times"/>
          <w:sz w:val="24"/>
          <w:szCs w:val="24"/>
        </w:rPr>
        <w:t xml:space="preserve">the nation’s </w:t>
      </w:r>
      <w:r w:rsidRPr="00B43F02">
        <w:rPr>
          <w:rFonts w:ascii="Times" w:hAnsi="Times"/>
          <w:sz w:val="24"/>
          <w:szCs w:val="24"/>
        </w:rPr>
        <w:t xml:space="preserve">industrial energy use, industry accounts for only </w:t>
      </w:r>
      <w:r w:rsidR="00A05EE1">
        <w:rPr>
          <w:rFonts w:ascii="Times" w:eastAsia="Batang" w:hAnsi="Times" w:hint="eastAsia"/>
          <w:sz w:val="24"/>
          <w:szCs w:val="24"/>
          <w:lang w:eastAsia="ko-KR"/>
        </w:rPr>
        <w:t>32</w:t>
      </w:r>
      <w:r w:rsidRPr="00B43F02">
        <w:rPr>
          <w:rFonts w:ascii="Times" w:hAnsi="Times"/>
          <w:sz w:val="24"/>
          <w:szCs w:val="24"/>
        </w:rPr>
        <w:t xml:space="preserve">% of </w:t>
      </w:r>
      <w:r w:rsidR="008A2A7E" w:rsidRPr="00B43F02">
        <w:rPr>
          <w:rFonts w:ascii="Times" w:hAnsi="Times"/>
          <w:sz w:val="24"/>
          <w:szCs w:val="24"/>
        </w:rPr>
        <w:t xml:space="preserve">Tennessee’s </w:t>
      </w:r>
      <w:r w:rsidRPr="00B43F02">
        <w:rPr>
          <w:rFonts w:ascii="Times" w:hAnsi="Times"/>
          <w:sz w:val="24"/>
          <w:szCs w:val="24"/>
        </w:rPr>
        <w:t xml:space="preserve">overall energy </w:t>
      </w:r>
      <w:r w:rsidR="00A05EE1">
        <w:rPr>
          <w:rFonts w:ascii="Times" w:eastAsia="Batang" w:hAnsi="Times" w:hint="eastAsia"/>
          <w:sz w:val="24"/>
          <w:szCs w:val="24"/>
          <w:lang w:eastAsia="ko-KR"/>
        </w:rPr>
        <w:t>consumption</w:t>
      </w:r>
      <w:r w:rsidRPr="00B43F02">
        <w:rPr>
          <w:rFonts w:ascii="Times" w:hAnsi="Times"/>
          <w:sz w:val="24"/>
          <w:szCs w:val="24"/>
        </w:rPr>
        <w:t xml:space="preserve">. </w:t>
      </w:r>
      <w:r w:rsidR="007755D6">
        <w:rPr>
          <w:rFonts w:ascii="Times" w:hAnsi="Times"/>
          <w:sz w:val="24"/>
          <w:szCs w:val="24"/>
        </w:rPr>
        <w:t xml:space="preserve"> </w:t>
      </w:r>
      <w:r w:rsidRPr="00B43F02">
        <w:rPr>
          <w:rFonts w:ascii="Times" w:hAnsi="Times"/>
          <w:sz w:val="24"/>
          <w:szCs w:val="24"/>
        </w:rPr>
        <w:t xml:space="preserve">In contrast, its </w:t>
      </w:r>
      <w:r w:rsidR="008A2A7E" w:rsidRPr="00B43F02">
        <w:rPr>
          <w:rFonts w:ascii="Times" w:hAnsi="Times"/>
          <w:sz w:val="24"/>
          <w:szCs w:val="24"/>
        </w:rPr>
        <w:t xml:space="preserve">residential energy </w:t>
      </w:r>
      <w:r w:rsidR="00377749" w:rsidRPr="00B43F02">
        <w:rPr>
          <w:rFonts w:ascii="Times" w:hAnsi="Times"/>
          <w:sz w:val="24"/>
          <w:szCs w:val="24"/>
        </w:rPr>
        <w:t xml:space="preserve">consumption </w:t>
      </w:r>
      <w:r w:rsidR="008A2A7E" w:rsidRPr="00B43F02">
        <w:rPr>
          <w:rFonts w:ascii="Times" w:hAnsi="Times"/>
          <w:sz w:val="24"/>
          <w:szCs w:val="24"/>
        </w:rPr>
        <w:t xml:space="preserve">as a percentage of its overall energy </w:t>
      </w:r>
      <w:r w:rsidR="00A05EE1">
        <w:rPr>
          <w:rFonts w:ascii="Times" w:eastAsia="Batang" w:hAnsi="Times" w:hint="eastAsia"/>
          <w:sz w:val="24"/>
          <w:szCs w:val="24"/>
          <w:lang w:eastAsia="ko-KR"/>
        </w:rPr>
        <w:t>use</w:t>
      </w:r>
      <w:r w:rsidR="008A2A7E" w:rsidRPr="00B43F02">
        <w:rPr>
          <w:rFonts w:ascii="Times" w:hAnsi="Times"/>
          <w:sz w:val="24"/>
          <w:szCs w:val="24"/>
        </w:rPr>
        <w:t xml:space="preserve"> exceeds that of the </w:t>
      </w:r>
      <w:r w:rsidRPr="00B43F02">
        <w:rPr>
          <w:rFonts w:ascii="Times" w:hAnsi="Times"/>
          <w:sz w:val="24"/>
          <w:szCs w:val="24"/>
        </w:rPr>
        <w:t xml:space="preserve">South and </w:t>
      </w:r>
      <w:r w:rsidR="00377749" w:rsidRPr="00B43F02">
        <w:rPr>
          <w:rFonts w:ascii="Times" w:hAnsi="Times"/>
          <w:sz w:val="24"/>
          <w:szCs w:val="24"/>
        </w:rPr>
        <w:t xml:space="preserve">that of </w:t>
      </w:r>
      <w:r w:rsidRPr="00B43F02">
        <w:rPr>
          <w:rFonts w:ascii="Times" w:hAnsi="Times"/>
          <w:sz w:val="24"/>
          <w:szCs w:val="24"/>
        </w:rPr>
        <w:t xml:space="preserve">the </w:t>
      </w:r>
      <w:r w:rsidR="008A2A7E" w:rsidRPr="00B43F02">
        <w:rPr>
          <w:rFonts w:ascii="Times" w:hAnsi="Times"/>
          <w:sz w:val="24"/>
          <w:szCs w:val="24"/>
        </w:rPr>
        <w:t>nation (Figure 2).</w:t>
      </w:r>
    </w:p>
    <w:p w:rsidR="008A2A7E" w:rsidRPr="00B43F02" w:rsidRDefault="008A2A7E" w:rsidP="008A2A7E">
      <w:pPr>
        <w:spacing w:after="0"/>
        <w:rPr>
          <w:rFonts w:ascii="Times" w:hAnsi="Times"/>
          <w:sz w:val="24"/>
          <w:szCs w:val="24"/>
        </w:rPr>
      </w:pPr>
    </w:p>
    <w:p w:rsidR="008A2A7E" w:rsidRDefault="008A2A7E" w:rsidP="006C2AE3">
      <w:pPr>
        <w:spacing w:after="0"/>
        <w:rPr>
          <w:rFonts w:ascii="Times" w:hAnsi="Times"/>
          <w:sz w:val="24"/>
          <w:szCs w:val="24"/>
        </w:rPr>
      </w:pPr>
      <w:r w:rsidRPr="00B43F02">
        <w:rPr>
          <w:rFonts w:ascii="Times" w:hAnsi="Times"/>
          <w:sz w:val="24"/>
          <w:szCs w:val="24"/>
        </w:rPr>
        <w:t xml:space="preserve">Tennessee consumes proportionately more coal and nuclear energy than other states in the South. On the other hand, it consumes relatively less natural gas and petroleum (Figure 3). </w:t>
      </w:r>
      <w:r w:rsidR="007755D6">
        <w:rPr>
          <w:rFonts w:ascii="Times" w:hAnsi="Times"/>
          <w:sz w:val="24"/>
          <w:szCs w:val="24"/>
        </w:rPr>
        <w:t xml:space="preserve"> </w:t>
      </w:r>
      <w:r w:rsidRPr="00B43F02">
        <w:rPr>
          <w:rFonts w:ascii="Times" w:hAnsi="Times"/>
          <w:sz w:val="24"/>
          <w:szCs w:val="24"/>
        </w:rPr>
        <w:t xml:space="preserve">The federally administered Tennessee Valley Authority </w:t>
      </w:r>
      <w:r w:rsidR="007755D6">
        <w:rPr>
          <w:rFonts w:ascii="Times" w:hAnsi="Times"/>
          <w:sz w:val="24"/>
          <w:szCs w:val="24"/>
        </w:rPr>
        <w:t xml:space="preserve">(TVA) </w:t>
      </w:r>
      <w:r w:rsidRPr="00B43F02">
        <w:rPr>
          <w:rFonts w:ascii="Times" w:hAnsi="Times"/>
          <w:sz w:val="24"/>
          <w:szCs w:val="24"/>
        </w:rPr>
        <w:t>controls nearly all of the state’s electricity generation</w:t>
      </w:r>
      <w:r w:rsidR="007A098F" w:rsidRPr="00B43F02">
        <w:rPr>
          <w:rFonts w:ascii="Times" w:hAnsi="Times"/>
          <w:sz w:val="24"/>
          <w:szCs w:val="24"/>
        </w:rPr>
        <w:t>.</w:t>
      </w:r>
      <w:r w:rsidR="007755D6">
        <w:rPr>
          <w:rFonts w:ascii="Times" w:hAnsi="Times"/>
          <w:sz w:val="24"/>
          <w:szCs w:val="24"/>
        </w:rPr>
        <w:t xml:space="preserve"> </w:t>
      </w:r>
      <w:r w:rsidR="007A098F" w:rsidRPr="00B43F02">
        <w:rPr>
          <w:rFonts w:ascii="Times" w:hAnsi="Times"/>
          <w:sz w:val="24"/>
          <w:szCs w:val="24"/>
        </w:rPr>
        <w:t xml:space="preserve"> </w:t>
      </w:r>
      <w:r w:rsidR="00BE56B6" w:rsidRPr="00B43F02">
        <w:rPr>
          <w:rFonts w:ascii="Times" w:hAnsi="Times"/>
          <w:sz w:val="24"/>
          <w:szCs w:val="24"/>
        </w:rPr>
        <w:t xml:space="preserve">It generates more electricity than any other public utility in the nation. </w:t>
      </w:r>
      <w:proofErr w:type="gramStart"/>
      <w:r w:rsidR="007A098F" w:rsidRPr="00B43F02">
        <w:rPr>
          <w:rFonts w:ascii="Times" w:hAnsi="Times"/>
          <w:sz w:val="24"/>
          <w:szCs w:val="24"/>
        </w:rPr>
        <w:t>About 64 percent of</w:t>
      </w:r>
      <w:r w:rsidR="00BB0CFD">
        <w:rPr>
          <w:rFonts w:ascii="Times" w:hAnsi="Times"/>
          <w:sz w:val="24"/>
          <w:szCs w:val="24"/>
        </w:rPr>
        <w:t xml:space="preserve"> the</w:t>
      </w:r>
      <w:r w:rsidR="007A098F" w:rsidRPr="00B43F02">
        <w:rPr>
          <w:rFonts w:ascii="Times" w:hAnsi="Times"/>
          <w:sz w:val="24"/>
          <w:szCs w:val="24"/>
        </w:rPr>
        <w:t xml:space="preserve"> electricity consumed in Tennessee is generated by coal plants</w:t>
      </w:r>
      <w:proofErr w:type="gramEnd"/>
      <w:r w:rsidR="007A098F" w:rsidRPr="00B43F02">
        <w:rPr>
          <w:rFonts w:ascii="Times" w:hAnsi="Times"/>
          <w:sz w:val="24"/>
          <w:szCs w:val="24"/>
        </w:rPr>
        <w:t>,</w:t>
      </w:r>
      <w:r w:rsidRPr="00B43F02">
        <w:rPr>
          <w:rFonts w:ascii="Times" w:hAnsi="Times"/>
          <w:sz w:val="24"/>
          <w:szCs w:val="24"/>
        </w:rPr>
        <w:t xml:space="preserve"> and approximately 27% </w:t>
      </w:r>
      <w:r w:rsidR="007A098F" w:rsidRPr="00B43F02">
        <w:rPr>
          <w:rFonts w:ascii="Times" w:hAnsi="Times"/>
          <w:sz w:val="24"/>
          <w:szCs w:val="24"/>
        </w:rPr>
        <w:t xml:space="preserve">is generated </w:t>
      </w:r>
      <w:r w:rsidR="00377749" w:rsidRPr="00B43F02">
        <w:rPr>
          <w:rFonts w:ascii="Times" w:hAnsi="Times"/>
          <w:sz w:val="24"/>
          <w:szCs w:val="24"/>
        </w:rPr>
        <w:t>by</w:t>
      </w:r>
      <w:r w:rsidRPr="00B43F02">
        <w:rPr>
          <w:rFonts w:ascii="Times" w:hAnsi="Times"/>
          <w:sz w:val="24"/>
          <w:szCs w:val="24"/>
        </w:rPr>
        <w:t xml:space="preserve"> nuclear </w:t>
      </w:r>
      <w:r w:rsidR="007A098F" w:rsidRPr="00B43F02">
        <w:rPr>
          <w:rFonts w:ascii="Times" w:hAnsi="Times"/>
          <w:sz w:val="24"/>
          <w:szCs w:val="24"/>
        </w:rPr>
        <w:t>plants</w:t>
      </w:r>
      <w:r w:rsidRPr="00B43F02">
        <w:rPr>
          <w:rFonts w:ascii="Times" w:hAnsi="Times"/>
          <w:sz w:val="24"/>
          <w:szCs w:val="24"/>
        </w:rPr>
        <w:t>.</w:t>
      </w:r>
    </w:p>
    <w:p w:rsidR="00231B26" w:rsidRPr="00231B26" w:rsidRDefault="00231B26" w:rsidP="006C2AE3">
      <w:pPr>
        <w:spacing w:after="0"/>
        <w:rPr>
          <w:rFonts w:ascii="Times" w:hAnsi="Times"/>
          <w:sz w:val="20"/>
          <w:szCs w:val="24"/>
        </w:rPr>
      </w:pPr>
    </w:p>
    <w:p w:rsidR="006C2AE3" w:rsidRPr="00B43F02" w:rsidRDefault="007F71BD" w:rsidP="00202032">
      <w:pPr>
        <w:spacing w:after="0"/>
        <w:jc w:val="center"/>
        <w:rPr>
          <w:rFonts w:ascii="Times" w:hAnsi="Times"/>
          <w:b/>
          <w:noProof/>
          <w:sz w:val="24"/>
          <w:szCs w:val="24"/>
        </w:rPr>
      </w:pPr>
      <w:r w:rsidRPr="00B43F02">
        <w:rPr>
          <w:rFonts w:ascii="Times" w:hAnsi="Times"/>
          <w:noProof/>
          <w:sz w:val="24"/>
          <w:szCs w:val="24"/>
          <w:lang w:eastAsia="en-US"/>
        </w:rPr>
        <w:drawing>
          <wp:inline distT="0" distB="0" distL="0" distR="0">
            <wp:extent cx="5791200" cy="1809750"/>
            <wp:effectExtent l="0" t="0" r="0" b="0"/>
            <wp:docPr id="121"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2AE3" w:rsidRPr="00B43F02" w:rsidRDefault="00FB1B94" w:rsidP="00202032">
      <w:pPr>
        <w:spacing w:after="0"/>
        <w:jc w:val="center"/>
        <w:rPr>
          <w:rFonts w:ascii="Times" w:hAnsi="Times"/>
          <w:b/>
          <w:noProof/>
          <w:sz w:val="24"/>
          <w:szCs w:val="24"/>
        </w:rPr>
      </w:pPr>
      <w:r w:rsidRPr="00B43F02">
        <w:rPr>
          <w:rFonts w:ascii="Times" w:hAnsi="Times"/>
          <w:b/>
          <w:noProof/>
          <w:sz w:val="24"/>
          <w:szCs w:val="24"/>
        </w:rPr>
        <w:t xml:space="preserve">Figure 2:  </w:t>
      </w:r>
      <w:r w:rsidR="00202032" w:rsidRPr="00B43F02">
        <w:rPr>
          <w:rFonts w:ascii="Times" w:hAnsi="Times"/>
          <w:b/>
          <w:noProof/>
          <w:sz w:val="24"/>
          <w:szCs w:val="24"/>
        </w:rPr>
        <w:t xml:space="preserve">Energy Consumption </w:t>
      </w:r>
      <w:r w:rsidR="00406D5B" w:rsidRPr="00B43F02">
        <w:rPr>
          <w:rFonts w:ascii="Times" w:hAnsi="Times"/>
          <w:b/>
          <w:noProof/>
          <w:sz w:val="24"/>
          <w:szCs w:val="24"/>
        </w:rPr>
        <w:t>in Tennessee</w:t>
      </w:r>
      <w:r w:rsidR="00202032" w:rsidRPr="00B43F02">
        <w:rPr>
          <w:rFonts w:ascii="Times" w:hAnsi="Times"/>
          <w:b/>
          <w:noProof/>
          <w:sz w:val="24"/>
          <w:szCs w:val="24"/>
        </w:rPr>
        <w:t>, the South, and the U.S. by Sector, 2007</w:t>
      </w:r>
    </w:p>
    <w:p w:rsidR="00202032" w:rsidRPr="00231B26" w:rsidRDefault="00202032" w:rsidP="00202032">
      <w:pPr>
        <w:spacing w:after="0"/>
        <w:jc w:val="center"/>
        <w:rPr>
          <w:rFonts w:ascii="Times" w:hAnsi="Times"/>
          <w:b/>
          <w:noProof/>
          <w:sz w:val="20"/>
          <w:szCs w:val="24"/>
        </w:rPr>
      </w:pPr>
    </w:p>
    <w:p w:rsidR="00E8326B" w:rsidRPr="00B43F02" w:rsidRDefault="007F71BD" w:rsidP="00202032">
      <w:pPr>
        <w:spacing w:after="0"/>
        <w:jc w:val="center"/>
        <w:rPr>
          <w:rFonts w:ascii="Times" w:hAnsi="Times"/>
          <w:sz w:val="24"/>
          <w:szCs w:val="24"/>
        </w:rPr>
      </w:pPr>
      <w:r w:rsidRPr="00B43F02">
        <w:rPr>
          <w:rFonts w:ascii="Times" w:hAnsi="Times"/>
          <w:noProof/>
          <w:sz w:val="24"/>
          <w:szCs w:val="24"/>
          <w:lang w:eastAsia="en-US"/>
        </w:rPr>
        <w:drawing>
          <wp:inline distT="0" distB="0" distL="0" distR="0">
            <wp:extent cx="6086475" cy="1771650"/>
            <wp:effectExtent l="0" t="0" r="0" b="0"/>
            <wp:docPr id="122"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1B94" w:rsidRPr="00B43F02" w:rsidRDefault="00FB1B94" w:rsidP="001E59A9">
      <w:pPr>
        <w:spacing w:after="0"/>
        <w:jc w:val="center"/>
        <w:rPr>
          <w:rFonts w:ascii="Times" w:hAnsi="Times"/>
          <w:b/>
          <w:sz w:val="24"/>
          <w:szCs w:val="24"/>
        </w:rPr>
      </w:pPr>
      <w:r w:rsidRPr="00B43F02">
        <w:rPr>
          <w:rFonts w:ascii="Times" w:hAnsi="Times"/>
          <w:b/>
          <w:noProof/>
          <w:sz w:val="24"/>
          <w:szCs w:val="24"/>
        </w:rPr>
        <w:t xml:space="preserve">Figure 3:  </w:t>
      </w:r>
      <w:r w:rsidR="00406D5B" w:rsidRPr="00B43F02">
        <w:rPr>
          <w:rFonts w:ascii="Times" w:hAnsi="Times"/>
          <w:b/>
          <w:noProof/>
          <w:sz w:val="24"/>
          <w:szCs w:val="24"/>
        </w:rPr>
        <w:t>Energy Consumption in Tennessee, the South, and the U.S. by Fuel Type,</w:t>
      </w:r>
      <w:r w:rsidR="00701C03" w:rsidRPr="00B43F02">
        <w:rPr>
          <w:rFonts w:ascii="Times" w:hAnsi="Times"/>
          <w:b/>
          <w:noProof/>
          <w:sz w:val="24"/>
          <w:szCs w:val="24"/>
        </w:rPr>
        <w:t xml:space="preserve"> 2007</w:t>
      </w:r>
    </w:p>
    <w:p w:rsidR="008A2A7E" w:rsidRPr="00B43F02" w:rsidRDefault="008A2A7E" w:rsidP="001E59A9">
      <w:pPr>
        <w:spacing w:after="0"/>
        <w:rPr>
          <w:rFonts w:ascii="Times" w:hAnsi="Times"/>
          <w:sz w:val="24"/>
          <w:szCs w:val="24"/>
        </w:rPr>
      </w:pPr>
    </w:p>
    <w:p w:rsidR="00BB0CFD" w:rsidRDefault="00BB0CFD" w:rsidP="008A2A7E">
      <w:pPr>
        <w:spacing w:after="0"/>
        <w:rPr>
          <w:rFonts w:ascii="Times" w:hAnsi="Times"/>
          <w:color w:val="000000" w:themeColor="text1"/>
          <w:sz w:val="24"/>
          <w:szCs w:val="24"/>
        </w:rPr>
      </w:pPr>
      <w:r>
        <w:rPr>
          <w:rFonts w:ascii="Times" w:hAnsi="Times"/>
          <w:color w:val="000000" w:themeColor="text1"/>
          <w:sz w:val="24"/>
          <w:szCs w:val="24"/>
        </w:rPr>
        <w:t>Tennessee is also home to one of the largest D</w:t>
      </w:r>
      <w:r w:rsidR="007755D6">
        <w:rPr>
          <w:rFonts w:ascii="Times" w:hAnsi="Times"/>
          <w:color w:val="000000" w:themeColor="text1"/>
          <w:sz w:val="24"/>
          <w:szCs w:val="24"/>
        </w:rPr>
        <w:t>epartment of Energy</w:t>
      </w:r>
      <w:r>
        <w:rPr>
          <w:rFonts w:ascii="Times" w:hAnsi="Times"/>
          <w:color w:val="000000" w:themeColor="text1"/>
          <w:sz w:val="24"/>
          <w:szCs w:val="24"/>
        </w:rPr>
        <w:t xml:space="preserve"> energy efficiency programs at Oak Ridge National Laboratory (ORNL). By partnering with ORNL, TVA and the T</w:t>
      </w:r>
      <w:r w:rsidR="007755D6">
        <w:rPr>
          <w:rFonts w:ascii="Times" w:hAnsi="Times"/>
          <w:color w:val="000000" w:themeColor="text1"/>
          <w:sz w:val="24"/>
          <w:szCs w:val="24"/>
        </w:rPr>
        <w:t>ennessee</w:t>
      </w:r>
      <w:r>
        <w:rPr>
          <w:rFonts w:ascii="Times" w:hAnsi="Times"/>
          <w:color w:val="000000" w:themeColor="text1"/>
          <w:sz w:val="24"/>
          <w:szCs w:val="24"/>
        </w:rPr>
        <w:t xml:space="preserve"> State Energy Office </w:t>
      </w:r>
      <w:r w:rsidR="009E0CB4">
        <w:rPr>
          <w:rFonts w:ascii="Times" w:hAnsi="Times"/>
          <w:color w:val="000000" w:themeColor="text1"/>
          <w:sz w:val="24"/>
          <w:szCs w:val="24"/>
        </w:rPr>
        <w:t>have</w:t>
      </w:r>
      <w:r>
        <w:rPr>
          <w:rFonts w:ascii="Times" w:hAnsi="Times"/>
          <w:color w:val="000000" w:themeColor="text1"/>
          <w:sz w:val="24"/>
          <w:szCs w:val="24"/>
        </w:rPr>
        <w:t xml:space="preserve"> helped to test and demonstrate advanced energy technologies including a collection of near net-zero energy Habitat for Humanity homes in Lenoir City. </w:t>
      </w:r>
    </w:p>
    <w:p w:rsidR="00BB0CFD" w:rsidRDefault="00BB0CFD" w:rsidP="008A2A7E">
      <w:pPr>
        <w:spacing w:after="0"/>
        <w:rPr>
          <w:rFonts w:ascii="Times" w:hAnsi="Times"/>
          <w:color w:val="000000" w:themeColor="text1"/>
          <w:sz w:val="24"/>
          <w:szCs w:val="24"/>
        </w:rPr>
      </w:pPr>
    </w:p>
    <w:p w:rsidR="008A2A7E" w:rsidRDefault="008A2A7E" w:rsidP="008A2A7E">
      <w:pPr>
        <w:spacing w:after="0"/>
        <w:rPr>
          <w:rFonts w:ascii="Times New Roman" w:hAnsi="Times New Roman"/>
          <w:color w:val="000000" w:themeColor="text1"/>
          <w:sz w:val="24"/>
          <w:szCs w:val="23"/>
          <w:vertAlign w:val="superscript"/>
        </w:rPr>
      </w:pPr>
      <w:r w:rsidRPr="00B43F02">
        <w:rPr>
          <w:rFonts w:ascii="Times" w:hAnsi="Times"/>
          <w:color w:val="000000" w:themeColor="text1"/>
          <w:sz w:val="24"/>
          <w:szCs w:val="24"/>
        </w:rPr>
        <w:t>Tennessee already has a number of energy</w:t>
      </w:r>
      <w:r w:rsidR="00AF236A">
        <w:rPr>
          <w:rFonts w:ascii="Times" w:hAnsi="Times"/>
          <w:color w:val="000000" w:themeColor="text1"/>
          <w:sz w:val="24"/>
          <w:szCs w:val="24"/>
        </w:rPr>
        <w:t xml:space="preserve"> efficiency policies in place. For instance, t</w:t>
      </w:r>
      <w:r w:rsidRPr="00B43F02">
        <w:rPr>
          <w:rFonts w:ascii="Times" w:hAnsi="Times"/>
          <w:color w:val="000000" w:themeColor="text1"/>
          <w:sz w:val="24"/>
          <w:szCs w:val="24"/>
        </w:rPr>
        <w:t>he Tennessee Clean Energy Future Act passed by the General</w:t>
      </w:r>
      <w:r w:rsidR="00FF422D" w:rsidRPr="00B43F02">
        <w:rPr>
          <w:rFonts w:ascii="Times" w:hAnsi="Times"/>
          <w:color w:val="000000" w:themeColor="text1"/>
          <w:sz w:val="24"/>
          <w:szCs w:val="24"/>
        </w:rPr>
        <w:t xml:space="preserve"> Assembly in 2009 focuses on having states lead by example, encouraging the growth of clean jobs, and promoting </w:t>
      </w:r>
      <w:r w:rsidRPr="00B43F02">
        <w:rPr>
          <w:rFonts w:ascii="Times" w:hAnsi="Times"/>
          <w:color w:val="000000" w:themeColor="text1"/>
          <w:sz w:val="24"/>
          <w:szCs w:val="24"/>
        </w:rPr>
        <w:t>greater energy efficiency in the residential sector. The legislation include</w:t>
      </w:r>
      <w:r w:rsidR="00FF422D" w:rsidRPr="00B43F02">
        <w:rPr>
          <w:rFonts w:ascii="Times" w:hAnsi="Times"/>
          <w:color w:val="000000" w:themeColor="text1"/>
          <w:sz w:val="24"/>
          <w:szCs w:val="24"/>
        </w:rPr>
        <w:t>s</w:t>
      </w:r>
      <w:r w:rsidRPr="00B43F02">
        <w:rPr>
          <w:rFonts w:ascii="Times" w:hAnsi="Times"/>
          <w:color w:val="000000" w:themeColor="text1"/>
          <w:sz w:val="24"/>
          <w:szCs w:val="24"/>
        </w:rPr>
        <w:t xml:space="preserve"> launching a five-year accelerated program to improve energy efficiency in state buildings, establishing a statewide residential building code, and expanding eligibility for federal funds used to weatherize existing homes in low-income areas.</w:t>
      </w:r>
      <w:r w:rsidR="001034DD" w:rsidRPr="00B43F02">
        <w:rPr>
          <w:rFonts w:ascii="Times" w:hAnsi="Times"/>
          <w:color w:val="000000" w:themeColor="text1"/>
          <w:sz w:val="24"/>
          <w:szCs w:val="24"/>
        </w:rPr>
        <w:t xml:space="preserve"> </w:t>
      </w:r>
      <w:r w:rsidR="0016202C" w:rsidRPr="00B43F02">
        <w:rPr>
          <w:rFonts w:ascii="Times" w:hAnsi="Times"/>
          <w:color w:val="000000" w:themeColor="text1"/>
          <w:sz w:val="24"/>
          <w:szCs w:val="24"/>
        </w:rPr>
        <w:t>Several</w:t>
      </w:r>
      <w:r w:rsidR="001034DD" w:rsidRPr="00B43F02">
        <w:rPr>
          <w:rFonts w:ascii="Times" w:hAnsi="Times"/>
          <w:color w:val="000000" w:themeColor="text1"/>
          <w:sz w:val="24"/>
          <w:szCs w:val="24"/>
        </w:rPr>
        <w:t xml:space="preserve"> programs offer assistance for small business energy efficiency projects, including low-interest loans, and free energy audit</w:t>
      </w:r>
      <w:r w:rsidR="0016202C" w:rsidRPr="00B43F02">
        <w:rPr>
          <w:rFonts w:ascii="Times" w:hAnsi="Times"/>
          <w:color w:val="000000" w:themeColor="text1"/>
          <w:sz w:val="24"/>
          <w:szCs w:val="24"/>
        </w:rPr>
        <w:t>s</w:t>
      </w:r>
      <w:r w:rsidR="001034DD" w:rsidRPr="00B43F02">
        <w:rPr>
          <w:rFonts w:ascii="Times" w:hAnsi="Times"/>
          <w:color w:val="000000" w:themeColor="text1"/>
          <w:sz w:val="24"/>
          <w:szCs w:val="24"/>
        </w:rPr>
        <w:t>.</w:t>
      </w:r>
      <w:r w:rsidR="00DA1101" w:rsidRPr="00B43F02">
        <w:rPr>
          <w:rFonts w:ascii="Times" w:hAnsi="Times"/>
          <w:color w:val="000000" w:themeColor="text1"/>
          <w:sz w:val="24"/>
          <w:szCs w:val="24"/>
        </w:rPr>
        <w:t xml:space="preserve"> More state initiatives are described in recent Southern States Energy Board and National Association of State Energy Officials publications.</w:t>
      </w:r>
      <w:r w:rsidR="00DA1101" w:rsidRPr="00B43F02">
        <w:rPr>
          <w:rFonts w:ascii="Times New Roman" w:hAnsi="Times New Roman"/>
          <w:color w:val="000000" w:themeColor="text1"/>
          <w:sz w:val="24"/>
          <w:szCs w:val="23"/>
          <w:vertAlign w:val="superscript"/>
        </w:rPr>
        <w:t>4, 5</w:t>
      </w:r>
    </w:p>
    <w:p w:rsidR="008A2A7E" w:rsidRPr="00B43F02" w:rsidRDefault="008A2A7E" w:rsidP="008A2A7E">
      <w:pPr>
        <w:spacing w:after="0"/>
        <w:rPr>
          <w:rFonts w:ascii="Times" w:hAnsi="Times"/>
          <w:color w:val="000000" w:themeColor="text1"/>
          <w:sz w:val="24"/>
          <w:szCs w:val="24"/>
        </w:rPr>
      </w:pPr>
      <w:r w:rsidRPr="00B43F02">
        <w:rPr>
          <w:rFonts w:ascii="Times" w:hAnsi="Times"/>
          <w:color w:val="000000" w:themeColor="text1"/>
          <w:sz w:val="24"/>
          <w:szCs w:val="24"/>
        </w:rPr>
        <w:t xml:space="preserve">Nevertheless, the </w:t>
      </w:r>
      <w:r w:rsidRPr="00B43F02">
        <w:rPr>
          <w:rFonts w:ascii="Times" w:hAnsi="Times"/>
          <w:i/>
          <w:color w:val="000000" w:themeColor="text1"/>
          <w:sz w:val="24"/>
          <w:szCs w:val="24"/>
        </w:rPr>
        <w:t>2009 State Energy Efficiency Scorecard</w:t>
      </w:r>
      <w:r w:rsidRPr="00B43F02">
        <w:rPr>
          <w:rFonts w:ascii="Times" w:hAnsi="Times"/>
          <w:color w:val="000000" w:themeColor="text1"/>
          <w:sz w:val="24"/>
          <w:szCs w:val="24"/>
        </w:rPr>
        <w:t xml:space="preserve"> from the American Council for an Energy Efficient Economy (and other studies of the State and region) suggests that additional policy initiatives are needed in the State to encourage households, businesses, and industries to utilize energy more effectively.  Specifically, the ACEEE study rated </w:t>
      </w:r>
      <w:r w:rsidRPr="00B43F02">
        <w:rPr>
          <w:rFonts w:ascii="Times" w:hAnsi="Times"/>
          <w:iCs/>
          <w:color w:val="000000" w:themeColor="text1"/>
          <w:sz w:val="24"/>
          <w:szCs w:val="24"/>
        </w:rPr>
        <w:t>Tennessee 38th</w:t>
      </w:r>
      <w:r w:rsidRPr="00B43F02">
        <w:rPr>
          <w:rFonts w:ascii="Times" w:hAnsi="Times"/>
          <w:color w:val="000000" w:themeColor="text1"/>
          <w:sz w:val="24"/>
          <w:szCs w:val="24"/>
        </w:rPr>
        <w:t xml:space="preserve"> of the 50 states and DC for its adoption and implementation of energy-efficiency policies.  This score is based on the state’s performance in six energy efficiency policy areas:  utility and public benefits, transportation, building energy codes, combined heat and power, state government initiatives, and appliance efficiency standards.</w:t>
      </w:r>
      <w:r w:rsidR="00DA1101" w:rsidRPr="00B43F02">
        <w:rPr>
          <w:rFonts w:ascii="Times New Roman" w:hAnsi="Times New Roman"/>
          <w:color w:val="000000" w:themeColor="text1"/>
          <w:sz w:val="24"/>
          <w:szCs w:val="23"/>
          <w:vertAlign w:val="superscript"/>
        </w:rPr>
        <w:t xml:space="preserve"> 6</w:t>
      </w:r>
    </w:p>
    <w:p w:rsidR="008A2A7E" w:rsidRPr="00B43F02" w:rsidRDefault="008A2A7E" w:rsidP="008A2A7E">
      <w:pPr>
        <w:spacing w:after="0"/>
        <w:rPr>
          <w:rFonts w:ascii="Times" w:hAnsi="Times"/>
          <w:b/>
          <w:noProof/>
          <w:color w:val="000000" w:themeColor="text1"/>
          <w:sz w:val="24"/>
          <w:szCs w:val="24"/>
        </w:rPr>
      </w:pPr>
    </w:p>
    <w:p w:rsidR="008A2A7E" w:rsidRPr="00B43F02" w:rsidRDefault="008A2A7E" w:rsidP="008A2A7E">
      <w:pPr>
        <w:spacing w:after="0"/>
        <w:rPr>
          <w:rFonts w:ascii="Times" w:hAnsi="Times"/>
          <w:color w:val="000000" w:themeColor="text1"/>
          <w:sz w:val="24"/>
          <w:szCs w:val="24"/>
        </w:rPr>
      </w:pPr>
      <w:r w:rsidRPr="00B43F02">
        <w:rPr>
          <w:rFonts w:ascii="Times" w:hAnsi="Times"/>
          <w:color w:val="000000" w:themeColor="text1"/>
          <w:sz w:val="24"/>
          <w:szCs w:val="24"/>
        </w:rPr>
        <w:t>In the</w:t>
      </w:r>
      <w:r w:rsidRPr="00B43F02">
        <w:rPr>
          <w:rFonts w:ascii="Times" w:hAnsi="Times"/>
          <w:i/>
          <w:color w:val="000000" w:themeColor="text1"/>
          <w:sz w:val="24"/>
          <w:szCs w:val="24"/>
        </w:rPr>
        <w:t xml:space="preserve"> Meta-Review of Efficiency Potential Studies and Their Implications for the South</w:t>
      </w:r>
      <w:r w:rsidRPr="00B43F02">
        <w:rPr>
          <w:rFonts w:ascii="Times" w:hAnsi="Times"/>
          <w:color w:val="000000" w:themeColor="text1"/>
          <w:sz w:val="24"/>
          <w:szCs w:val="24"/>
        </w:rPr>
        <w:t xml:space="preserve">, Chandler and Brown (2009) reviewed six energy-efficiency </w:t>
      </w:r>
      <w:r w:rsidR="008355AC">
        <w:rPr>
          <w:rFonts w:ascii="Times" w:hAnsi="Times"/>
          <w:color w:val="000000" w:themeColor="text1"/>
          <w:sz w:val="24"/>
          <w:szCs w:val="24"/>
        </w:rPr>
        <w:t>studies that covered Tennessee. According to this meta-review, e</w:t>
      </w:r>
      <w:r w:rsidRPr="00B43F02">
        <w:rPr>
          <w:rFonts w:ascii="Times" w:hAnsi="Times"/>
          <w:color w:val="000000" w:themeColor="text1"/>
          <w:sz w:val="24"/>
          <w:szCs w:val="24"/>
        </w:rPr>
        <w:t xml:space="preserve">stimates of “maximum achievable” potential energy savings range from 14-26% of projected energy consumption in 2020. </w:t>
      </w:r>
      <w:r w:rsidR="007755D6">
        <w:rPr>
          <w:rFonts w:ascii="Times" w:hAnsi="Times"/>
          <w:color w:val="000000" w:themeColor="text1"/>
          <w:sz w:val="24"/>
          <w:szCs w:val="24"/>
        </w:rPr>
        <w:t xml:space="preserve"> </w:t>
      </w:r>
      <w:r w:rsidRPr="00B43F02">
        <w:rPr>
          <w:rFonts w:ascii="Times" w:hAnsi="Times"/>
          <w:color w:val="000000" w:themeColor="text1"/>
          <w:sz w:val="24"/>
          <w:szCs w:val="24"/>
        </w:rPr>
        <w:t>Tennessee’s energy-efficiency potential would be higher than this range with the implementation of all cost-effective opportunities, but the number of studies with such estimates is limited.</w:t>
      </w:r>
      <w:r w:rsidR="00DA1101" w:rsidRPr="00B43F02">
        <w:rPr>
          <w:rFonts w:ascii="Times New Roman" w:hAnsi="Times New Roman"/>
          <w:color w:val="000000" w:themeColor="text1"/>
          <w:sz w:val="24"/>
          <w:szCs w:val="23"/>
          <w:vertAlign w:val="superscript"/>
        </w:rPr>
        <w:t xml:space="preserve"> 7</w:t>
      </w:r>
    </w:p>
    <w:p w:rsidR="00E8326B" w:rsidRPr="00B43F02" w:rsidRDefault="00E8326B" w:rsidP="001E59A9">
      <w:pPr>
        <w:spacing w:after="0"/>
        <w:rPr>
          <w:rFonts w:ascii="Times" w:hAnsi="Times"/>
          <w:color w:val="000000" w:themeColor="text1"/>
          <w:sz w:val="24"/>
          <w:szCs w:val="24"/>
        </w:rPr>
      </w:pPr>
    </w:p>
    <w:p w:rsidR="00406D5B" w:rsidRPr="00B43F02" w:rsidRDefault="00406D5B" w:rsidP="00406D5B">
      <w:pPr>
        <w:spacing w:after="0"/>
        <w:rPr>
          <w:rFonts w:ascii="Times" w:hAnsi="Times"/>
          <w:b/>
          <w:color w:val="000000" w:themeColor="text1"/>
          <w:sz w:val="24"/>
          <w:szCs w:val="24"/>
        </w:rPr>
      </w:pPr>
      <w:r w:rsidRPr="00B43F02">
        <w:rPr>
          <w:rFonts w:ascii="Times" w:hAnsi="Times"/>
          <w:b/>
          <w:color w:val="000000" w:themeColor="text1"/>
          <w:sz w:val="24"/>
          <w:szCs w:val="24"/>
        </w:rPr>
        <w:t>Energy Efficiency Potential by Sector</w:t>
      </w:r>
    </w:p>
    <w:p w:rsidR="0026100E" w:rsidRDefault="00BB0CFD" w:rsidP="001E59A9">
      <w:pPr>
        <w:spacing w:after="0"/>
        <w:rPr>
          <w:rFonts w:ascii="Times" w:hAnsi="Times"/>
          <w:color w:val="000000" w:themeColor="text1"/>
          <w:sz w:val="24"/>
          <w:szCs w:val="24"/>
        </w:rPr>
      </w:pPr>
      <w:r>
        <w:rPr>
          <w:rFonts w:ascii="Times" w:hAnsi="Times"/>
          <w:color w:val="000000" w:themeColor="text1"/>
          <w:sz w:val="24"/>
          <w:szCs w:val="24"/>
        </w:rPr>
        <w:t xml:space="preserve">The State’s total energy consumption (residential, commercial, industrial, and transportation sectors) is projected to increase 15% from 2010 to 2030. </w:t>
      </w:r>
      <w:r w:rsidR="007755D6">
        <w:rPr>
          <w:rFonts w:ascii="Times" w:hAnsi="Times"/>
          <w:color w:val="000000" w:themeColor="text1"/>
          <w:sz w:val="24"/>
          <w:szCs w:val="24"/>
        </w:rPr>
        <w:t xml:space="preserve"> </w:t>
      </w:r>
      <w:r w:rsidR="00406D5B" w:rsidRPr="00B43F02">
        <w:rPr>
          <w:rFonts w:ascii="Times" w:hAnsi="Times"/>
          <w:color w:val="000000" w:themeColor="text1"/>
          <w:sz w:val="24"/>
          <w:szCs w:val="24"/>
        </w:rPr>
        <w:t xml:space="preserve">This profile describes the ability of nine energy policies to accelerate the adoption of cost-effective energy-efficient technologies in the residential, commercial, and industrial sectors of Tennessee. </w:t>
      </w:r>
      <w:r w:rsidR="007755D6">
        <w:rPr>
          <w:rFonts w:ascii="Times" w:hAnsi="Times"/>
          <w:color w:val="000000" w:themeColor="text1"/>
          <w:sz w:val="24"/>
          <w:szCs w:val="24"/>
        </w:rPr>
        <w:t xml:space="preserve"> </w:t>
      </w:r>
      <w:r w:rsidR="00406D5B" w:rsidRPr="00B43F02">
        <w:rPr>
          <w:rFonts w:ascii="Times" w:hAnsi="Times"/>
          <w:color w:val="000000" w:themeColor="text1"/>
          <w:sz w:val="24"/>
          <w:szCs w:val="24"/>
        </w:rPr>
        <w:t xml:space="preserve">Altogether, these policies offer the potential to reduce </w:t>
      </w:r>
      <w:r w:rsidR="00701C03" w:rsidRPr="00B43F02">
        <w:rPr>
          <w:rFonts w:ascii="Times" w:hAnsi="Times"/>
          <w:color w:val="000000" w:themeColor="text1"/>
          <w:sz w:val="24"/>
          <w:szCs w:val="24"/>
        </w:rPr>
        <w:t>Tennessee</w:t>
      </w:r>
      <w:r w:rsidR="00406D5B" w:rsidRPr="00B43F02">
        <w:rPr>
          <w:rFonts w:ascii="Times" w:hAnsi="Times"/>
          <w:color w:val="000000" w:themeColor="text1"/>
          <w:sz w:val="24"/>
          <w:szCs w:val="24"/>
        </w:rPr>
        <w:t xml:space="preserve">’s energy consumption by approximately </w:t>
      </w:r>
      <w:r w:rsidR="00693B36" w:rsidRPr="00B43F02">
        <w:rPr>
          <w:rFonts w:ascii="Times" w:hAnsi="Times"/>
          <w:color w:val="000000" w:themeColor="text1"/>
          <w:sz w:val="24"/>
          <w:szCs w:val="24"/>
        </w:rPr>
        <w:t>1</w:t>
      </w:r>
      <w:r w:rsidR="00693B36">
        <w:rPr>
          <w:rFonts w:ascii="Times" w:hAnsi="Times"/>
          <w:color w:val="000000" w:themeColor="text1"/>
          <w:sz w:val="24"/>
          <w:szCs w:val="24"/>
        </w:rPr>
        <w:t>1</w:t>
      </w:r>
      <w:r w:rsidR="00406D5B" w:rsidRPr="00B43F02">
        <w:rPr>
          <w:rFonts w:ascii="Times" w:hAnsi="Times"/>
          <w:color w:val="000000" w:themeColor="text1"/>
          <w:sz w:val="24"/>
          <w:szCs w:val="24"/>
        </w:rPr>
        <w:t>% of the energy consumed by the State in 2007</w:t>
      </w:r>
      <w:r w:rsidR="000B1404">
        <w:rPr>
          <w:rFonts w:ascii="Times" w:hAnsi="Times"/>
          <w:color w:val="000000" w:themeColor="text1"/>
          <w:sz w:val="24"/>
          <w:szCs w:val="24"/>
        </w:rPr>
        <w:t xml:space="preserve"> (</w:t>
      </w:r>
      <w:r w:rsidR="00693B36">
        <w:rPr>
          <w:rFonts w:ascii="Times" w:hAnsi="Times"/>
          <w:color w:val="000000" w:themeColor="text1"/>
          <w:sz w:val="24"/>
          <w:szCs w:val="24"/>
        </w:rPr>
        <w:t xml:space="preserve">260 </w:t>
      </w:r>
      <w:r w:rsidR="000B1404">
        <w:rPr>
          <w:rFonts w:ascii="Times" w:hAnsi="Times"/>
          <w:color w:val="000000" w:themeColor="text1"/>
          <w:sz w:val="24"/>
          <w:szCs w:val="24"/>
        </w:rPr>
        <w:t>TBtu in 2030) (Figure 4)</w:t>
      </w:r>
      <w:r w:rsidR="00406D5B" w:rsidRPr="00B43F02">
        <w:rPr>
          <w:rFonts w:ascii="Times" w:hAnsi="Times"/>
          <w:color w:val="000000" w:themeColor="text1"/>
          <w:sz w:val="24"/>
          <w:szCs w:val="24"/>
        </w:rPr>
        <w:t xml:space="preserve">. </w:t>
      </w:r>
      <w:r w:rsidR="007755D6">
        <w:rPr>
          <w:rFonts w:ascii="Times" w:hAnsi="Times"/>
          <w:color w:val="000000" w:themeColor="text1"/>
          <w:sz w:val="24"/>
          <w:szCs w:val="24"/>
        </w:rPr>
        <w:t xml:space="preserve"> </w:t>
      </w:r>
      <w:r w:rsidR="000C156A" w:rsidRPr="00B43F02">
        <w:rPr>
          <w:rFonts w:ascii="Times" w:hAnsi="Times"/>
          <w:color w:val="000000" w:themeColor="text1"/>
          <w:sz w:val="24"/>
          <w:szCs w:val="24"/>
        </w:rPr>
        <w:t>With these policies, Ten</w:t>
      </w:r>
      <w:r w:rsidR="005C049A" w:rsidRPr="00B43F02">
        <w:rPr>
          <w:rFonts w:ascii="Times" w:hAnsi="Times"/>
          <w:color w:val="000000" w:themeColor="text1"/>
          <w:sz w:val="24"/>
          <w:szCs w:val="24"/>
        </w:rPr>
        <w:t>n</w:t>
      </w:r>
      <w:r w:rsidR="000C156A" w:rsidRPr="00B43F02">
        <w:rPr>
          <w:rFonts w:ascii="Times" w:hAnsi="Times"/>
          <w:color w:val="000000" w:themeColor="text1"/>
          <w:sz w:val="24"/>
          <w:szCs w:val="24"/>
        </w:rPr>
        <w:t>essee’s projected</w:t>
      </w:r>
      <w:r w:rsidR="005C049A" w:rsidRPr="00B43F02">
        <w:rPr>
          <w:rFonts w:ascii="Times" w:hAnsi="Times"/>
          <w:color w:val="000000" w:themeColor="text1"/>
          <w:sz w:val="24"/>
          <w:szCs w:val="24"/>
        </w:rPr>
        <w:t xml:space="preserve"> energy consumption could remain level through </w:t>
      </w:r>
      <w:r>
        <w:rPr>
          <w:rFonts w:ascii="Times" w:hAnsi="Times"/>
          <w:color w:val="000000" w:themeColor="text1"/>
          <w:sz w:val="24"/>
          <w:szCs w:val="24"/>
        </w:rPr>
        <w:t>2</w:t>
      </w:r>
      <w:r w:rsidR="005C049A" w:rsidRPr="00B43F02">
        <w:rPr>
          <w:rFonts w:ascii="Times" w:hAnsi="Times"/>
          <w:color w:val="000000" w:themeColor="text1"/>
          <w:sz w:val="24"/>
          <w:szCs w:val="24"/>
        </w:rPr>
        <w:t xml:space="preserve">015, after which a modest growth in demand would occur. </w:t>
      </w:r>
      <w:r w:rsidR="007755D6">
        <w:rPr>
          <w:rFonts w:ascii="Times" w:hAnsi="Times"/>
          <w:color w:val="000000" w:themeColor="text1"/>
          <w:sz w:val="24"/>
          <w:szCs w:val="24"/>
        </w:rPr>
        <w:t xml:space="preserve"> </w:t>
      </w:r>
      <w:r w:rsidR="00F12E1F" w:rsidRPr="00B43F02">
        <w:rPr>
          <w:rFonts w:ascii="Times" w:hAnsi="Times"/>
          <w:color w:val="000000" w:themeColor="text1"/>
          <w:sz w:val="24"/>
          <w:szCs w:val="24"/>
        </w:rPr>
        <w:t xml:space="preserve">For complete policy descriptions, refer to </w:t>
      </w:r>
      <w:r w:rsidR="00F12E1F" w:rsidRPr="00B43F02">
        <w:rPr>
          <w:rFonts w:ascii="Times" w:hAnsi="Times"/>
          <w:i/>
          <w:color w:val="000000" w:themeColor="text1"/>
          <w:sz w:val="24"/>
          <w:szCs w:val="24"/>
        </w:rPr>
        <w:t xml:space="preserve">Energy Efficiency in the South by </w:t>
      </w:r>
      <w:r w:rsidR="00F12E1F" w:rsidRPr="00B43F02">
        <w:rPr>
          <w:rFonts w:ascii="Times" w:hAnsi="Times"/>
          <w:color w:val="000000" w:themeColor="text1"/>
          <w:sz w:val="24"/>
          <w:szCs w:val="24"/>
        </w:rPr>
        <w:t>Brown et al. (2010).</w:t>
      </w:r>
    </w:p>
    <w:p w:rsidR="00E9513F" w:rsidRPr="00B43F02" w:rsidRDefault="00E9513F" w:rsidP="001E59A9">
      <w:pPr>
        <w:spacing w:after="0"/>
        <w:rPr>
          <w:rFonts w:ascii="Times" w:hAnsi="Times"/>
          <w:color w:val="000000" w:themeColor="text1"/>
          <w:sz w:val="24"/>
          <w:szCs w:val="24"/>
        </w:rPr>
      </w:pPr>
    </w:p>
    <w:p w:rsidR="00CB09C8" w:rsidRPr="0026100E" w:rsidRDefault="00310896" w:rsidP="00310896">
      <w:pPr>
        <w:spacing w:after="0"/>
        <w:jc w:val="center"/>
        <w:rPr>
          <w:rFonts w:ascii="Times" w:hAnsi="Times"/>
          <w:sz w:val="24"/>
          <w:szCs w:val="24"/>
        </w:rPr>
      </w:pPr>
      <w:r w:rsidRPr="00310896">
        <w:rPr>
          <w:rFonts w:ascii="Times" w:hAnsi="Times"/>
          <w:noProof/>
          <w:sz w:val="24"/>
          <w:szCs w:val="24"/>
          <w:lang w:eastAsia="en-US"/>
        </w:rPr>
        <w:drawing>
          <wp:inline distT="0" distB="0" distL="0" distR="0">
            <wp:extent cx="4848225" cy="2390775"/>
            <wp:effectExtent l="0" t="0" r="9525" b="0"/>
            <wp:docPr id="24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4B91" w:rsidRPr="00B43F02" w:rsidRDefault="00FB1B94" w:rsidP="001E59A9">
      <w:pPr>
        <w:jc w:val="center"/>
        <w:rPr>
          <w:rFonts w:ascii="Times" w:hAnsi="Times"/>
          <w:b/>
          <w:sz w:val="24"/>
          <w:szCs w:val="24"/>
        </w:rPr>
      </w:pPr>
      <w:r w:rsidRPr="00B43F02">
        <w:rPr>
          <w:rFonts w:ascii="Times" w:hAnsi="Times"/>
          <w:b/>
          <w:sz w:val="24"/>
          <w:szCs w:val="24"/>
        </w:rPr>
        <w:t>Figure 4</w:t>
      </w:r>
      <w:r w:rsidR="00D84B91" w:rsidRPr="00B43F02">
        <w:rPr>
          <w:rFonts w:ascii="Times" w:hAnsi="Times"/>
          <w:b/>
          <w:sz w:val="24"/>
          <w:szCs w:val="24"/>
        </w:rPr>
        <w:t xml:space="preserve">: </w:t>
      </w:r>
      <w:r w:rsidR="00A01E2B" w:rsidRPr="00B43F02">
        <w:rPr>
          <w:rFonts w:ascii="Times" w:hAnsi="Times"/>
          <w:b/>
          <w:sz w:val="24"/>
          <w:szCs w:val="24"/>
        </w:rPr>
        <w:t xml:space="preserve">Energy Efficiency </w:t>
      </w:r>
      <w:r w:rsidR="00D84B91" w:rsidRPr="00B43F02">
        <w:rPr>
          <w:rFonts w:ascii="Times" w:hAnsi="Times"/>
          <w:b/>
          <w:sz w:val="24"/>
          <w:szCs w:val="24"/>
        </w:rPr>
        <w:t xml:space="preserve">Potential in </w:t>
      </w:r>
      <w:r w:rsidR="00703B4F" w:rsidRPr="00B43F02">
        <w:rPr>
          <w:rFonts w:ascii="Times" w:hAnsi="Times"/>
          <w:b/>
          <w:sz w:val="24"/>
          <w:szCs w:val="24"/>
        </w:rPr>
        <w:t>Tennessee</w:t>
      </w:r>
      <w:r w:rsidR="00635BC1" w:rsidRPr="00B43F02">
        <w:rPr>
          <w:rFonts w:ascii="Times" w:hAnsi="Times"/>
          <w:b/>
          <w:sz w:val="24"/>
          <w:szCs w:val="24"/>
          <w:vertAlign w:val="superscript"/>
        </w:rPr>
        <w:t>1</w:t>
      </w:r>
      <w:r w:rsidR="000E7445">
        <w:rPr>
          <w:rFonts w:ascii="Times" w:eastAsia="Batang" w:hAnsi="Times" w:hint="eastAsia"/>
          <w:b/>
          <w:sz w:val="24"/>
          <w:szCs w:val="24"/>
          <w:vertAlign w:val="superscript"/>
          <w:lang w:eastAsia="ko-KR"/>
        </w:rPr>
        <w:t>6</w:t>
      </w:r>
      <w:r w:rsidR="00D84B91" w:rsidRPr="00B43F02">
        <w:rPr>
          <w:rFonts w:ascii="Times" w:hAnsi="Times"/>
          <w:b/>
          <w:sz w:val="24"/>
          <w:szCs w:val="24"/>
          <w:vertAlign w:val="superscript"/>
        </w:rPr>
        <w:t xml:space="preserve"> </w:t>
      </w:r>
    </w:p>
    <w:p w:rsidR="00FB18DC" w:rsidRPr="00AF236A" w:rsidRDefault="005273C9" w:rsidP="00AF236A">
      <w:pPr>
        <w:rPr>
          <w:rFonts w:ascii="Times" w:hAnsi="Times"/>
          <w:sz w:val="24"/>
          <w:szCs w:val="24"/>
        </w:rPr>
      </w:pPr>
      <w:r w:rsidRPr="00B43F02">
        <w:rPr>
          <w:rFonts w:ascii="Times" w:hAnsi="Times"/>
          <w:color w:val="000000" w:themeColor="text1"/>
          <w:sz w:val="24"/>
          <w:szCs w:val="24"/>
        </w:rPr>
        <w:t xml:space="preserve">Each of the three sectors offers approximately equal levels </w:t>
      </w:r>
      <w:r w:rsidR="009E0CB4">
        <w:rPr>
          <w:rFonts w:ascii="Times" w:hAnsi="Times"/>
          <w:color w:val="000000" w:themeColor="text1"/>
          <w:sz w:val="24"/>
          <w:szCs w:val="24"/>
        </w:rPr>
        <w:t xml:space="preserve">of </w:t>
      </w:r>
      <w:r w:rsidR="004162E7" w:rsidRPr="00B43F02">
        <w:rPr>
          <w:rFonts w:ascii="Times" w:hAnsi="Times"/>
          <w:color w:val="000000" w:themeColor="text1"/>
          <w:sz w:val="24"/>
          <w:szCs w:val="24"/>
        </w:rPr>
        <w:t xml:space="preserve">energy efficiency potential in </w:t>
      </w:r>
      <w:r w:rsidR="00B15788" w:rsidRPr="00B43F02">
        <w:rPr>
          <w:rFonts w:ascii="Times" w:hAnsi="Times"/>
          <w:color w:val="000000" w:themeColor="text1"/>
          <w:sz w:val="24"/>
          <w:szCs w:val="24"/>
        </w:rPr>
        <w:t>Tennessee</w:t>
      </w:r>
      <w:r w:rsidR="004162E7" w:rsidRPr="00B43F02">
        <w:rPr>
          <w:rFonts w:ascii="Times" w:hAnsi="Times"/>
          <w:color w:val="000000" w:themeColor="text1"/>
          <w:sz w:val="24"/>
          <w:szCs w:val="24"/>
        </w:rPr>
        <w:t xml:space="preserve"> (Figure 5).  In 2020, savings from all three sectors is about </w:t>
      </w:r>
      <w:r w:rsidR="00693B36">
        <w:rPr>
          <w:rFonts w:ascii="Times" w:hAnsi="Times"/>
          <w:color w:val="000000" w:themeColor="text1"/>
          <w:sz w:val="24"/>
          <w:szCs w:val="24"/>
        </w:rPr>
        <w:t>7</w:t>
      </w:r>
      <w:r w:rsidR="004162E7" w:rsidRPr="00B43F02">
        <w:rPr>
          <w:rFonts w:ascii="Times" w:hAnsi="Times"/>
          <w:color w:val="000000" w:themeColor="text1"/>
          <w:sz w:val="24"/>
          <w:szCs w:val="24"/>
        </w:rPr>
        <w:t>%</w:t>
      </w:r>
      <w:r w:rsidR="000B1404">
        <w:rPr>
          <w:rFonts w:ascii="Times" w:hAnsi="Times"/>
          <w:color w:val="000000" w:themeColor="text1"/>
          <w:sz w:val="24"/>
          <w:szCs w:val="24"/>
        </w:rPr>
        <w:t xml:space="preserve"> (150 TBtu)</w:t>
      </w:r>
      <w:r w:rsidR="004162E7" w:rsidRPr="00B43F02">
        <w:rPr>
          <w:rFonts w:ascii="Times" w:hAnsi="Times"/>
          <w:color w:val="000000" w:themeColor="text1"/>
          <w:sz w:val="24"/>
          <w:szCs w:val="24"/>
        </w:rPr>
        <w:t xml:space="preserve"> of the total energy consumed by the State in 2007.  Electricity savings </w:t>
      </w:r>
      <w:r w:rsidR="00C424BF">
        <w:rPr>
          <w:rFonts w:ascii="Times" w:hAnsi="Times"/>
          <w:color w:val="000000" w:themeColor="text1"/>
          <w:sz w:val="24"/>
          <w:szCs w:val="24"/>
        </w:rPr>
        <w:t>are about</w:t>
      </w:r>
      <w:r w:rsidR="00C424BF" w:rsidRPr="00B43F02">
        <w:rPr>
          <w:rFonts w:ascii="Times" w:hAnsi="Times"/>
          <w:color w:val="000000" w:themeColor="text1"/>
          <w:sz w:val="24"/>
          <w:szCs w:val="24"/>
        </w:rPr>
        <w:t xml:space="preserve"> </w:t>
      </w:r>
      <w:r w:rsidR="00693B36" w:rsidRPr="00B43F02">
        <w:rPr>
          <w:rFonts w:ascii="Times" w:hAnsi="Times"/>
          <w:color w:val="000000" w:themeColor="text1"/>
          <w:sz w:val="24"/>
          <w:szCs w:val="24"/>
        </w:rPr>
        <w:t>1</w:t>
      </w:r>
      <w:r w:rsidR="00693B36">
        <w:rPr>
          <w:rFonts w:ascii="Times" w:hAnsi="Times"/>
          <w:color w:val="000000" w:themeColor="text1"/>
          <w:sz w:val="24"/>
          <w:szCs w:val="24"/>
        </w:rPr>
        <w:t>4</w:t>
      </w:r>
      <w:r w:rsidR="00693B36" w:rsidRPr="00B43F02">
        <w:rPr>
          <w:rFonts w:ascii="Times" w:hAnsi="Times"/>
          <w:color w:val="000000" w:themeColor="text1"/>
          <w:sz w:val="24"/>
          <w:szCs w:val="24"/>
        </w:rPr>
        <w:t xml:space="preserve">0 </w:t>
      </w:r>
      <w:r w:rsidR="004162E7" w:rsidRPr="00B43F02">
        <w:rPr>
          <w:rFonts w:ascii="Times" w:hAnsi="Times"/>
          <w:color w:val="000000" w:themeColor="text1"/>
          <w:sz w:val="24"/>
          <w:szCs w:val="24"/>
        </w:rPr>
        <w:t xml:space="preserve">TBtu of this amount. </w:t>
      </w:r>
      <w:r w:rsidR="00C424BF">
        <w:rPr>
          <w:rFonts w:ascii="Times" w:hAnsi="Times"/>
          <w:color w:val="000000" w:themeColor="text1"/>
          <w:sz w:val="24"/>
          <w:szCs w:val="24"/>
        </w:rPr>
        <w:t xml:space="preserve"> </w:t>
      </w:r>
      <w:r w:rsidR="00AD3EB4">
        <w:rPr>
          <w:rFonts w:ascii="Times" w:hAnsi="Times"/>
          <w:color w:val="000000" w:themeColor="text1"/>
          <w:sz w:val="24"/>
          <w:szCs w:val="24"/>
        </w:rPr>
        <w:t xml:space="preserve">The energy efficiency savings from the three sectors decrease the total projected consumption for the state by 7% in 2020 and </w:t>
      </w:r>
      <w:r w:rsidR="00693B36">
        <w:rPr>
          <w:rFonts w:ascii="Times" w:hAnsi="Times"/>
          <w:color w:val="000000" w:themeColor="text1"/>
          <w:sz w:val="24"/>
          <w:szCs w:val="24"/>
        </w:rPr>
        <w:t>10</w:t>
      </w:r>
      <w:r w:rsidR="00AD3EB4">
        <w:rPr>
          <w:rFonts w:ascii="Times" w:hAnsi="Times"/>
          <w:color w:val="000000" w:themeColor="text1"/>
          <w:sz w:val="24"/>
          <w:szCs w:val="24"/>
        </w:rPr>
        <w:t xml:space="preserve">% in 2030. </w:t>
      </w:r>
      <w:r w:rsidR="00C424BF">
        <w:rPr>
          <w:rFonts w:ascii="Times" w:hAnsi="Times"/>
          <w:color w:val="000000" w:themeColor="text1"/>
          <w:sz w:val="24"/>
          <w:szCs w:val="24"/>
        </w:rPr>
        <w:t xml:space="preserve"> </w:t>
      </w:r>
      <w:r w:rsidRPr="00B43F02">
        <w:rPr>
          <w:rFonts w:ascii="Times" w:hAnsi="Times"/>
          <w:color w:val="000000" w:themeColor="text1"/>
          <w:sz w:val="24"/>
          <w:szCs w:val="24"/>
        </w:rPr>
        <w:t>With these policies,</w:t>
      </w:r>
      <w:r w:rsidR="00AD3EB4">
        <w:rPr>
          <w:rFonts w:ascii="Times" w:hAnsi="Times"/>
          <w:color w:val="000000" w:themeColor="text1"/>
          <w:sz w:val="24"/>
          <w:szCs w:val="24"/>
        </w:rPr>
        <w:t xml:space="preserve"> the electricity generated by four 500-MW power plants in 2020 and seven such power plants in 2030 could be avoided</w:t>
      </w:r>
      <w:r w:rsidRPr="00B43F02">
        <w:rPr>
          <w:rFonts w:ascii="Times" w:hAnsi="Times"/>
          <w:color w:val="000000" w:themeColor="text1"/>
          <w:sz w:val="24"/>
          <w:szCs w:val="24"/>
        </w:rPr>
        <w:t>.</w:t>
      </w:r>
      <w:r w:rsidR="00DA1101" w:rsidRPr="00B43F02">
        <w:rPr>
          <w:rFonts w:ascii="Times New Roman" w:hAnsi="Times New Roman"/>
          <w:color w:val="000000" w:themeColor="text1"/>
          <w:sz w:val="24"/>
          <w:szCs w:val="23"/>
          <w:vertAlign w:val="superscript"/>
        </w:rPr>
        <w:t xml:space="preserve"> 8</w:t>
      </w:r>
      <w:r w:rsidR="00396504" w:rsidRPr="00396504">
        <w:rPr>
          <w:rFonts w:ascii="Times" w:hAnsi="Times"/>
          <w:sz w:val="24"/>
          <w:szCs w:val="24"/>
        </w:rPr>
        <w:t xml:space="preserve"> </w:t>
      </w:r>
    </w:p>
    <w:p w:rsidR="008106BE" w:rsidRPr="00B43F02" w:rsidRDefault="007678CF" w:rsidP="001E59A9">
      <w:pPr>
        <w:spacing w:after="0"/>
        <w:jc w:val="center"/>
        <w:rPr>
          <w:rFonts w:ascii="Times" w:hAnsi="Times"/>
          <w:b/>
          <w:sz w:val="24"/>
          <w:szCs w:val="24"/>
        </w:rPr>
      </w:pPr>
      <w:r w:rsidRPr="00B43F02">
        <w:rPr>
          <w:rFonts w:ascii="Times" w:hAnsi="Times"/>
          <w:b/>
          <w:noProof/>
          <w:sz w:val="24"/>
          <w:szCs w:val="24"/>
          <w:lang w:eastAsia="en-US"/>
        </w:rPr>
        <w:drawing>
          <wp:inline distT="0" distB="0" distL="0" distR="0">
            <wp:extent cx="5486400" cy="194310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45E31" w:rsidRPr="00B43F02" w:rsidRDefault="008106BE" w:rsidP="001E59A9">
      <w:pPr>
        <w:spacing w:after="0"/>
        <w:jc w:val="center"/>
        <w:rPr>
          <w:rFonts w:ascii="Times" w:hAnsi="Times"/>
          <w:b/>
          <w:sz w:val="24"/>
          <w:szCs w:val="24"/>
        </w:rPr>
      </w:pPr>
      <w:r w:rsidRPr="00B43F02">
        <w:rPr>
          <w:rFonts w:ascii="Times" w:hAnsi="Times"/>
          <w:b/>
          <w:sz w:val="24"/>
          <w:szCs w:val="24"/>
        </w:rPr>
        <w:t xml:space="preserve">Figure </w:t>
      </w:r>
      <w:r w:rsidR="00FB1B94" w:rsidRPr="00B43F02">
        <w:rPr>
          <w:rFonts w:ascii="Times" w:hAnsi="Times"/>
          <w:b/>
          <w:sz w:val="24"/>
          <w:szCs w:val="24"/>
        </w:rPr>
        <w:t>5</w:t>
      </w:r>
      <w:r w:rsidR="00B45E31" w:rsidRPr="00B43F02">
        <w:rPr>
          <w:rFonts w:ascii="Times" w:hAnsi="Times"/>
          <w:b/>
          <w:sz w:val="24"/>
          <w:szCs w:val="24"/>
        </w:rPr>
        <w:t>: Energy-Efficiency Potential</w:t>
      </w:r>
      <w:r w:rsidR="00F67A82" w:rsidRPr="00B43F02">
        <w:rPr>
          <w:rFonts w:ascii="Times" w:hAnsi="Times"/>
          <w:b/>
          <w:sz w:val="24"/>
          <w:szCs w:val="24"/>
        </w:rPr>
        <w:t xml:space="preserve"> by Sector in Tennessee</w:t>
      </w:r>
      <w:r w:rsidR="00B45E31" w:rsidRPr="00B43F02">
        <w:rPr>
          <w:rFonts w:ascii="Times" w:hAnsi="Times"/>
          <w:b/>
          <w:sz w:val="24"/>
          <w:szCs w:val="24"/>
        </w:rPr>
        <w:t>, 2020 and 2030</w:t>
      </w:r>
    </w:p>
    <w:p w:rsidR="00C036D0" w:rsidRPr="00231B26" w:rsidRDefault="00C036D0" w:rsidP="001E59A9">
      <w:pPr>
        <w:spacing w:after="0"/>
        <w:rPr>
          <w:rFonts w:ascii="Times" w:hAnsi="Times"/>
          <w:b/>
          <w:i/>
          <w:sz w:val="24"/>
          <w:szCs w:val="24"/>
        </w:rPr>
      </w:pPr>
    </w:p>
    <w:p w:rsidR="00C15B0B" w:rsidRPr="00B43F02" w:rsidRDefault="00C15B0B" w:rsidP="00E9513F">
      <w:pPr>
        <w:spacing w:after="0" w:line="240" w:lineRule="auto"/>
        <w:rPr>
          <w:rFonts w:ascii="Times" w:hAnsi="Times"/>
          <w:b/>
          <w:i/>
          <w:sz w:val="24"/>
          <w:szCs w:val="24"/>
        </w:rPr>
      </w:pPr>
      <w:r w:rsidRPr="00B43F02">
        <w:rPr>
          <w:rFonts w:ascii="Times" w:hAnsi="Times"/>
          <w:b/>
          <w:i/>
          <w:sz w:val="24"/>
          <w:szCs w:val="24"/>
        </w:rPr>
        <w:t>Residential Sector</w:t>
      </w:r>
    </w:p>
    <w:p w:rsidR="00B95DCB" w:rsidRDefault="00396504" w:rsidP="00B45E31">
      <w:pPr>
        <w:spacing w:after="0"/>
        <w:rPr>
          <w:rFonts w:ascii="Times" w:hAnsi="Times"/>
          <w:sz w:val="24"/>
          <w:szCs w:val="24"/>
        </w:rPr>
      </w:pPr>
      <w:r w:rsidRPr="00A94A0D">
        <w:rPr>
          <w:rFonts w:ascii="Times" w:hAnsi="Times"/>
          <w:sz w:val="24"/>
          <w:szCs w:val="24"/>
        </w:rPr>
        <w:t xml:space="preserve">Four residential energy efficiency policies were examined: more stringent building codes with third party verification, improved appliance standards and incentives, expanding the Weatherization Assistance Program, and retrofit incentives </w:t>
      </w:r>
      <w:r w:rsidR="009E0CB4">
        <w:rPr>
          <w:rFonts w:ascii="Times" w:hAnsi="Times"/>
          <w:sz w:val="24"/>
          <w:szCs w:val="24"/>
        </w:rPr>
        <w:t>with</w:t>
      </w:r>
      <w:r w:rsidR="009E0CB4" w:rsidRPr="00A94A0D">
        <w:rPr>
          <w:rFonts w:ascii="Times" w:hAnsi="Times"/>
          <w:sz w:val="24"/>
          <w:szCs w:val="24"/>
        </w:rPr>
        <w:t xml:space="preserve"> </w:t>
      </w:r>
      <w:r w:rsidRPr="00A94A0D">
        <w:rPr>
          <w:rFonts w:ascii="Times" w:hAnsi="Times"/>
          <w:sz w:val="24"/>
          <w:szCs w:val="24"/>
        </w:rPr>
        <w:t>increased equipment standards.</w:t>
      </w:r>
      <w:r w:rsidR="009E0CB4">
        <w:rPr>
          <w:rFonts w:ascii="Times" w:hAnsi="Times"/>
          <w:sz w:val="24"/>
          <w:szCs w:val="24"/>
        </w:rPr>
        <w:t xml:space="preserve"> </w:t>
      </w:r>
      <w:r w:rsidR="00B45E31" w:rsidRPr="00B43F02">
        <w:rPr>
          <w:rFonts w:ascii="Times" w:hAnsi="Times"/>
          <w:sz w:val="24"/>
          <w:szCs w:val="24"/>
        </w:rPr>
        <w:t xml:space="preserve">Their implementation could reduce Tennessee’s projected residential consumption by about </w:t>
      </w:r>
      <w:r>
        <w:rPr>
          <w:rFonts w:ascii="Times" w:hAnsi="Times"/>
          <w:sz w:val="24"/>
          <w:szCs w:val="24"/>
        </w:rPr>
        <w:t>8</w:t>
      </w:r>
      <w:r w:rsidR="00B45E31" w:rsidRPr="00B43F02">
        <w:rPr>
          <w:rFonts w:ascii="Times" w:hAnsi="Times"/>
          <w:sz w:val="24"/>
          <w:szCs w:val="24"/>
        </w:rPr>
        <w:t xml:space="preserve">% (41 TBtu) in 2020 and </w:t>
      </w:r>
      <w:r>
        <w:rPr>
          <w:rFonts w:ascii="Times" w:hAnsi="Times"/>
          <w:sz w:val="24"/>
          <w:szCs w:val="24"/>
        </w:rPr>
        <w:t>11</w:t>
      </w:r>
      <w:r w:rsidR="00B45E31" w:rsidRPr="00B43F02">
        <w:rPr>
          <w:rFonts w:ascii="Times" w:hAnsi="Times"/>
          <w:sz w:val="24"/>
          <w:szCs w:val="24"/>
        </w:rPr>
        <w:t xml:space="preserve">% (72 TBtu) in 2030 (Figure 6).  </w:t>
      </w:r>
    </w:p>
    <w:p w:rsidR="00E823D3" w:rsidRPr="00E823D3" w:rsidRDefault="00E823D3" w:rsidP="00B45E31">
      <w:pPr>
        <w:spacing w:after="0"/>
        <w:rPr>
          <w:rFonts w:ascii="Times" w:hAnsi="Times"/>
          <w:sz w:val="12"/>
          <w:szCs w:val="24"/>
        </w:rPr>
      </w:pPr>
    </w:p>
    <w:tbl>
      <w:tblPr>
        <w:tblW w:w="10384" w:type="dxa"/>
        <w:jc w:val="center"/>
        <w:tblInd w:w="107" w:type="dxa"/>
        <w:tblLayout w:type="fixed"/>
        <w:tblLook w:val="04A0"/>
      </w:tblPr>
      <w:tblGrid>
        <w:gridCol w:w="4903"/>
        <w:gridCol w:w="5481"/>
      </w:tblGrid>
      <w:tr w:rsidR="00B95DCB" w:rsidRPr="00B43F02">
        <w:trPr>
          <w:jc w:val="center"/>
        </w:trPr>
        <w:tc>
          <w:tcPr>
            <w:tcW w:w="4903" w:type="dxa"/>
          </w:tcPr>
          <w:p w:rsidR="00B95DCB" w:rsidRPr="00B43F02" w:rsidRDefault="00C43EC0" w:rsidP="00290F8C">
            <w:pPr>
              <w:spacing w:after="0"/>
              <w:jc w:val="right"/>
              <w:rPr>
                <w:rFonts w:ascii="Times" w:hAnsi="Times"/>
                <w:b/>
                <w:noProof/>
                <w:sz w:val="24"/>
                <w:szCs w:val="24"/>
              </w:rPr>
            </w:pPr>
            <w:r w:rsidRPr="00B43F02">
              <w:rPr>
                <w:rFonts w:ascii="Times" w:hAnsi="Times"/>
                <w:b/>
                <w:noProof/>
                <w:sz w:val="24"/>
                <w:szCs w:val="24"/>
                <w:lang w:eastAsia="en-US"/>
              </w:rPr>
              <w:drawing>
                <wp:inline distT="0" distB="0" distL="0" distR="0">
                  <wp:extent cx="3095625" cy="1847850"/>
                  <wp:effectExtent l="0" t="0" r="9525" b="0"/>
                  <wp:docPr id="56"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95DCB" w:rsidRPr="00B43F02" w:rsidRDefault="00B95DCB" w:rsidP="00E9513F">
            <w:pPr>
              <w:spacing w:after="0"/>
              <w:jc w:val="center"/>
              <w:rPr>
                <w:rFonts w:ascii="Times" w:hAnsi="Times"/>
                <w:b/>
                <w:sz w:val="24"/>
                <w:szCs w:val="24"/>
              </w:rPr>
            </w:pPr>
            <w:r w:rsidRPr="00B43F02">
              <w:rPr>
                <w:rFonts w:ascii="Times" w:hAnsi="Times"/>
                <w:b/>
                <w:noProof/>
                <w:sz w:val="24"/>
                <w:szCs w:val="24"/>
              </w:rPr>
              <w:t>Figure 6: Residential Sector Savings</w:t>
            </w:r>
          </w:p>
        </w:tc>
        <w:tc>
          <w:tcPr>
            <w:tcW w:w="5481" w:type="dxa"/>
          </w:tcPr>
          <w:p w:rsidR="00B95DCB" w:rsidRPr="00B43F02" w:rsidRDefault="00C43EC0" w:rsidP="00E9513F">
            <w:pPr>
              <w:spacing w:after="0"/>
              <w:rPr>
                <w:rFonts w:ascii="Times" w:hAnsi="Times"/>
                <w:b/>
                <w:noProof/>
                <w:sz w:val="24"/>
                <w:szCs w:val="24"/>
              </w:rPr>
            </w:pPr>
            <w:r w:rsidRPr="00B43F02">
              <w:rPr>
                <w:rFonts w:ascii="Times" w:hAnsi="Times"/>
                <w:b/>
                <w:noProof/>
                <w:sz w:val="24"/>
                <w:szCs w:val="24"/>
                <w:lang w:eastAsia="en-US"/>
              </w:rPr>
              <w:drawing>
                <wp:inline distT="0" distB="0" distL="0" distR="0">
                  <wp:extent cx="3019425" cy="1847850"/>
                  <wp:effectExtent l="0" t="0" r="0" b="0"/>
                  <wp:docPr id="59"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95DCB" w:rsidRPr="00B43F02" w:rsidRDefault="00B95DCB" w:rsidP="00E9513F">
            <w:pPr>
              <w:spacing w:after="0"/>
              <w:jc w:val="center"/>
              <w:rPr>
                <w:rFonts w:ascii="Times" w:hAnsi="Times"/>
                <w:b/>
                <w:noProof/>
                <w:sz w:val="24"/>
                <w:szCs w:val="24"/>
              </w:rPr>
            </w:pPr>
            <w:r w:rsidRPr="00B43F02">
              <w:rPr>
                <w:rFonts w:ascii="Times" w:hAnsi="Times"/>
                <w:b/>
                <w:noProof/>
                <w:sz w:val="24"/>
                <w:szCs w:val="24"/>
              </w:rPr>
              <w:t>Figure 7: Residential Sector Savings by Fuel Type</w:t>
            </w:r>
          </w:p>
        </w:tc>
      </w:tr>
    </w:tbl>
    <w:p w:rsidR="009E0CB4" w:rsidRPr="00231B26" w:rsidRDefault="009E0CB4" w:rsidP="00396504">
      <w:pPr>
        <w:spacing w:after="0"/>
        <w:rPr>
          <w:rFonts w:ascii="Times" w:hAnsi="Times"/>
          <w:sz w:val="20"/>
          <w:szCs w:val="24"/>
        </w:rPr>
      </w:pPr>
    </w:p>
    <w:p w:rsidR="00396504" w:rsidRPr="00B43F02" w:rsidRDefault="00396504" w:rsidP="00396504">
      <w:pPr>
        <w:spacing w:after="0"/>
        <w:rPr>
          <w:rFonts w:ascii="Times" w:hAnsi="Times"/>
          <w:sz w:val="24"/>
          <w:szCs w:val="24"/>
        </w:rPr>
      </w:pPr>
      <w:r w:rsidRPr="00B43F02">
        <w:rPr>
          <w:rFonts w:ascii="Times" w:hAnsi="Times"/>
          <w:sz w:val="24"/>
          <w:szCs w:val="24"/>
        </w:rPr>
        <w:t xml:space="preserve">In 2020, the residential energy required by about </w:t>
      </w:r>
      <w:r w:rsidR="00C424BF">
        <w:rPr>
          <w:rFonts w:ascii="Times" w:hAnsi="Times"/>
          <w:sz w:val="24"/>
          <w:szCs w:val="24"/>
        </w:rPr>
        <w:t>18</w:t>
      </w:r>
      <w:r w:rsidR="001D2CD1">
        <w:rPr>
          <w:rFonts w:ascii="Times" w:hAnsi="Times"/>
          <w:sz w:val="24"/>
          <w:szCs w:val="24"/>
        </w:rPr>
        <w:t>0</w:t>
      </w:r>
      <w:r>
        <w:rPr>
          <w:rFonts w:ascii="Times" w:hAnsi="Times"/>
          <w:sz w:val="24"/>
          <w:szCs w:val="24"/>
        </w:rPr>
        <w:t>,000</w:t>
      </w:r>
      <w:r w:rsidRPr="00B43F02">
        <w:rPr>
          <w:rFonts w:ascii="Times" w:hAnsi="Times"/>
          <w:sz w:val="24"/>
          <w:szCs w:val="24"/>
        </w:rPr>
        <w:t xml:space="preserve"> Tennessean households could be avoided or about $</w:t>
      </w:r>
      <w:r>
        <w:rPr>
          <w:rFonts w:ascii="Times" w:hAnsi="Times"/>
          <w:sz w:val="24"/>
          <w:szCs w:val="24"/>
        </w:rPr>
        <w:t>260</w:t>
      </w:r>
      <w:r w:rsidRPr="00B43F02">
        <w:rPr>
          <w:rFonts w:ascii="Times" w:hAnsi="Times"/>
          <w:sz w:val="24"/>
          <w:szCs w:val="24"/>
        </w:rPr>
        <w:t xml:space="preserve"> per household.  The principal energy savings are from electricity (Figure 7).  With these policies, residential energy consumption could remain largely unchanged over the next decade, and grow more gradually than the baseline forecast in the following decade. </w:t>
      </w:r>
    </w:p>
    <w:p w:rsidR="000808A7" w:rsidRPr="00B43F02" w:rsidRDefault="000808A7" w:rsidP="008355AC">
      <w:pPr>
        <w:spacing w:after="0" w:line="240" w:lineRule="auto"/>
        <w:rPr>
          <w:rFonts w:ascii="Times" w:hAnsi="Times"/>
          <w:b/>
          <w:i/>
          <w:sz w:val="24"/>
          <w:szCs w:val="24"/>
        </w:rPr>
      </w:pPr>
      <w:r w:rsidRPr="00B43F02">
        <w:rPr>
          <w:rFonts w:ascii="Times" w:hAnsi="Times"/>
          <w:b/>
          <w:i/>
          <w:sz w:val="24"/>
          <w:szCs w:val="24"/>
        </w:rPr>
        <w:t>Commercial Sector</w:t>
      </w:r>
    </w:p>
    <w:p w:rsidR="00B95DCB" w:rsidRDefault="00B95DCB" w:rsidP="001E59A9">
      <w:pPr>
        <w:spacing w:after="0"/>
        <w:rPr>
          <w:rFonts w:ascii="Times" w:hAnsi="Times"/>
          <w:sz w:val="24"/>
          <w:szCs w:val="24"/>
        </w:rPr>
      </w:pPr>
      <w:r w:rsidRPr="00B43F02">
        <w:rPr>
          <w:rFonts w:ascii="Times" w:hAnsi="Times"/>
          <w:sz w:val="24"/>
          <w:szCs w:val="24"/>
        </w:rPr>
        <w:t xml:space="preserve">The implementation of appliance standards and retrofit policies in Tennessee’s commercial sector could reduce projected energy consumption in 2020 by about </w:t>
      </w:r>
      <w:r w:rsidR="00693B36" w:rsidRPr="00B43F02">
        <w:rPr>
          <w:rFonts w:ascii="Times" w:hAnsi="Times"/>
          <w:sz w:val="24"/>
          <w:szCs w:val="24"/>
        </w:rPr>
        <w:t>1</w:t>
      </w:r>
      <w:r w:rsidR="00693B36">
        <w:rPr>
          <w:rFonts w:ascii="Times" w:hAnsi="Times"/>
          <w:sz w:val="24"/>
          <w:szCs w:val="24"/>
        </w:rPr>
        <w:t>2</w:t>
      </w:r>
      <w:r w:rsidRPr="00B43F02">
        <w:rPr>
          <w:rFonts w:ascii="Times" w:hAnsi="Times"/>
          <w:sz w:val="24"/>
          <w:szCs w:val="24"/>
        </w:rPr>
        <w:t xml:space="preserve">% (50 TBtu), and by about </w:t>
      </w:r>
      <w:r w:rsidR="00693B36" w:rsidRPr="00B43F02">
        <w:rPr>
          <w:rFonts w:ascii="Times" w:hAnsi="Times"/>
          <w:sz w:val="24"/>
          <w:szCs w:val="24"/>
        </w:rPr>
        <w:t>1</w:t>
      </w:r>
      <w:r w:rsidR="00693B36">
        <w:rPr>
          <w:rFonts w:ascii="Times" w:hAnsi="Times"/>
          <w:sz w:val="24"/>
          <w:szCs w:val="24"/>
        </w:rPr>
        <w:t>8</w:t>
      </w:r>
      <w:r w:rsidRPr="00B43F02">
        <w:rPr>
          <w:rFonts w:ascii="Times" w:hAnsi="Times"/>
          <w:sz w:val="24"/>
          <w:szCs w:val="24"/>
        </w:rPr>
        <w:t>% (90 TBtu) in 2030 (Figure 8).</w:t>
      </w:r>
      <w:r w:rsidR="00111229">
        <w:rPr>
          <w:rFonts w:ascii="Times" w:hAnsi="Times"/>
          <w:sz w:val="24"/>
          <w:szCs w:val="24"/>
        </w:rPr>
        <w:t xml:space="preserve"> </w:t>
      </w:r>
      <w:r w:rsidR="00C424BF">
        <w:rPr>
          <w:rFonts w:ascii="Times" w:hAnsi="Times"/>
          <w:sz w:val="24"/>
          <w:szCs w:val="24"/>
        </w:rPr>
        <w:t xml:space="preserve"> </w:t>
      </w:r>
      <w:r w:rsidR="00111229">
        <w:rPr>
          <w:rFonts w:ascii="Times" w:hAnsi="Times"/>
          <w:sz w:val="24"/>
          <w:szCs w:val="24"/>
        </w:rPr>
        <w:t>In 2020, the commercial sector could save about 90 TBtu, which is equivalent to the amount of energy that 1,4</w:t>
      </w:r>
      <w:r w:rsidR="00575DBB">
        <w:rPr>
          <w:rFonts w:ascii="Times" w:hAnsi="Times"/>
          <w:sz w:val="24"/>
          <w:szCs w:val="24"/>
        </w:rPr>
        <w:t>0</w:t>
      </w:r>
      <w:r w:rsidR="00111229">
        <w:rPr>
          <w:rFonts w:ascii="Times" w:hAnsi="Times"/>
          <w:sz w:val="24"/>
          <w:szCs w:val="24"/>
        </w:rPr>
        <w:t xml:space="preserve">0 Wal-Mart stores spend a year. </w:t>
      </w:r>
      <w:r w:rsidR="00C424BF">
        <w:rPr>
          <w:rFonts w:ascii="Times" w:hAnsi="Times"/>
          <w:sz w:val="24"/>
          <w:szCs w:val="24"/>
        </w:rPr>
        <w:t xml:space="preserve"> </w:t>
      </w:r>
      <w:r w:rsidR="00111229">
        <w:rPr>
          <w:rFonts w:ascii="Times" w:hAnsi="Times"/>
          <w:sz w:val="24"/>
          <w:szCs w:val="24"/>
        </w:rPr>
        <w:t xml:space="preserve">Each </w:t>
      </w:r>
      <w:r w:rsidR="009E0CB4">
        <w:rPr>
          <w:rFonts w:ascii="Times" w:hAnsi="Times"/>
          <w:sz w:val="24"/>
          <w:szCs w:val="24"/>
        </w:rPr>
        <w:t xml:space="preserve">retail establishment </w:t>
      </w:r>
      <w:r w:rsidR="00111229">
        <w:rPr>
          <w:rFonts w:ascii="Times" w:hAnsi="Times"/>
          <w:sz w:val="24"/>
          <w:szCs w:val="24"/>
        </w:rPr>
        <w:t>in Tennessee could save about $</w:t>
      </w:r>
      <w:r w:rsidR="00575DBB">
        <w:rPr>
          <w:rFonts w:ascii="Times" w:hAnsi="Times"/>
          <w:sz w:val="24"/>
          <w:szCs w:val="24"/>
        </w:rPr>
        <w:t>20,000</w:t>
      </w:r>
      <w:r w:rsidR="00111229">
        <w:rPr>
          <w:rFonts w:ascii="Times" w:hAnsi="Times"/>
          <w:sz w:val="24"/>
          <w:szCs w:val="24"/>
        </w:rPr>
        <w:t xml:space="preserve"> on </w:t>
      </w:r>
      <w:proofErr w:type="gramStart"/>
      <w:r w:rsidR="00111229">
        <w:rPr>
          <w:rFonts w:ascii="Times" w:hAnsi="Times"/>
          <w:sz w:val="24"/>
          <w:szCs w:val="24"/>
        </w:rPr>
        <w:t>average</w:t>
      </w:r>
      <w:r w:rsidRPr="00B43F02">
        <w:rPr>
          <w:rFonts w:ascii="Times" w:hAnsi="Times"/>
          <w:sz w:val="24"/>
          <w:szCs w:val="24"/>
        </w:rPr>
        <w:t>.</w:t>
      </w:r>
      <w:r w:rsidR="00DA1101" w:rsidRPr="00B43F02">
        <w:rPr>
          <w:rFonts w:ascii="Times New Roman" w:hAnsi="Times New Roman"/>
          <w:sz w:val="24"/>
          <w:szCs w:val="23"/>
          <w:vertAlign w:val="superscript"/>
        </w:rPr>
        <w:t>9</w:t>
      </w:r>
      <w:r w:rsidRPr="00B43F02">
        <w:rPr>
          <w:rFonts w:ascii="Times" w:hAnsi="Times"/>
          <w:sz w:val="24"/>
          <w:szCs w:val="24"/>
        </w:rPr>
        <w:t xml:space="preserve"> </w:t>
      </w:r>
      <w:r w:rsidR="00C424BF">
        <w:rPr>
          <w:rFonts w:ascii="Times" w:hAnsi="Times"/>
          <w:sz w:val="24"/>
          <w:szCs w:val="24"/>
        </w:rPr>
        <w:t xml:space="preserve"> </w:t>
      </w:r>
      <w:r w:rsidRPr="00B43F02">
        <w:rPr>
          <w:rFonts w:ascii="Times" w:hAnsi="Times"/>
          <w:sz w:val="24"/>
          <w:szCs w:val="24"/>
        </w:rPr>
        <w:t>The</w:t>
      </w:r>
      <w:proofErr w:type="gramEnd"/>
      <w:r w:rsidRPr="00B43F02">
        <w:rPr>
          <w:rFonts w:ascii="Times" w:hAnsi="Times"/>
          <w:sz w:val="24"/>
          <w:szCs w:val="24"/>
        </w:rPr>
        <w:t xml:space="preserve"> principal energy savings are from electricity, with natural gas and other fuels providing additional savings (Figure 9).  The rapid growth of commercial energy consumption forecast for Tennessee could be constrained to only modest growth with these two energy efficiency policies.  </w:t>
      </w:r>
    </w:p>
    <w:p w:rsidR="00111229" w:rsidRPr="00290F8C" w:rsidRDefault="00111229" w:rsidP="001E59A9">
      <w:pPr>
        <w:spacing w:after="0"/>
        <w:rPr>
          <w:rFonts w:ascii="Times" w:hAnsi="Times"/>
          <w:sz w:val="12"/>
          <w:szCs w:val="24"/>
        </w:rPr>
      </w:pPr>
    </w:p>
    <w:tbl>
      <w:tblPr>
        <w:tblW w:w="10495" w:type="dxa"/>
        <w:tblInd w:w="-252" w:type="dxa"/>
        <w:tblLayout w:type="fixed"/>
        <w:tblLook w:val="04A0"/>
      </w:tblPr>
      <w:tblGrid>
        <w:gridCol w:w="4878"/>
        <w:gridCol w:w="5617"/>
      </w:tblGrid>
      <w:tr w:rsidR="000C3BE0" w:rsidRPr="00B43F02">
        <w:trPr>
          <w:trHeight w:val="3189"/>
        </w:trPr>
        <w:tc>
          <w:tcPr>
            <w:tcW w:w="4878" w:type="dxa"/>
          </w:tcPr>
          <w:p w:rsidR="000C3BE0" w:rsidRPr="00B43F02" w:rsidRDefault="00C43EC0" w:rsidP="00290F8C">
            <w:pPr>
              <w:spacing w:after="0"/>
              <w:rPr>
                <w:rFonts w:ascii="Times" w:hAnsi="Times"/>
                <w:b/>
                <w:noProof/>
                <w:sz w:val="24"/>
                <w:szCs w:val="24"/>
              </w:rPr>
            </w:pPr>
            <w:r w:rsidRPr="00B43F02">
              <w:rPr>
                <w:rFonts w:ascii="Times" w:hAnsi="Times"/>
                <w:b/>
                <w:noProof/>
                <w:sz w:val="24"/>
                <w:szCs w:val="24"/>
                <w:lang w:eastAsia="en-US"/>
              </w:rPr>
              <w:drawing>
                <wp:inline distT="0" distB="0" distL="0" distR="0">
                  <wp:extent cx="3028950" cy="1866900"/>
                  <wp:effectExtent l="0" t="0" r="0" b="0"/>
                  <wp:docPr id="60"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C3BE0" w:rsidRPr="00B43F02" w:rsidRDefault="000C3BE0" w:rsidP="00290F8C">
            <w:pPr>
              <w:spacing w:after="0"/>
              <w:jc w:val="center"/>
              <w:rPr>
                <w:rFonts w:ascii="Times" w:hAnsi="Times"/>
                <w:b/>
                <w:sz w:val="24"/>
                <w:szCs w:val="24"/>
              </w:rPr>
            </w:pPr>
            <w:r w:rsidRPr="00B43F02">
              <w:rPr>
                <w:rFonts w:ascii="Times" w:hAnsi="Times"/>
                <w:b/>
                <w:noProof/>
                <w:sz w:val="24"/>
                <w:szCs w:val="24"/>
              </w:rPr>
              <w:t xml:space="preserve">Figure </w:t>
            </w:r>
            <w:r w:rsidR="00B36E1A" w:rsidRPr="00B43F02">
              <w:rPr>
                <w:rFonts w:ascii="Times" w:hAnsi="Times"/>
                <w:b/>
                <w:noProof/>
                <w:sz w:val="24"/>
                <w:szCs w:val="24"/>
              </w:rPr>
              <w:t>8</w:t>
            </w:r>
            <w:r w:rsidRPr="00B43F02">
              <w:rPr>
                <w:rFonts w:ascii="Times" w:hAnsi="Times"/>
                <w:b/>
                <w:noProof/>
                <w:sz w:val="24"/>
                <w:szCs w:val="24"/>
              </w:rPr>
              <w:t>: Commercial Sector Savings</w:t>
            </w:r>
          </w:p>
        </w:tc>
        <w:tc>
          <w:tcPr>
            <w:tcW w:w="5617" w:type="dxa"/>
          </w:tcPr>
          <w:p w:rsidR="000C3BE0" w:rsidRPr="00B43F02" w:rsidRDefault="00C43EC0" w:rsidP="00290F8C">
            <w:pPr>
              <w:spacing w:after="0"/>
              <w:ind w:left="-18" w:firstLine="18"/>
              <w:rPr>
                <w:rFonts w:ascii="Times" w:hAnsi="Times"/>
                <w:b/>
                <w:noProof/>
                <w:sz w:val="24"/>
                <w:szCs w:val="24"/>
              </w:rPr>
            </w:pPr>
            <w:r w:rsidRPr="00B43F02">
              <w:rPr>
                <w:rFonts w:ascii="Times" w:hAnsi="Times"/>
                <w:b/>
                <w:noProof/>
                <w:sz w:val="24"/>
                <w:szCs w:val="24"/>
                <w:lang w:eastAsia="en-US"/>
              </w:rPr>
              <w:drawing>
                <wp:inline distT="0" distB="0" distL="0" distR="0">
                  <wp:extent cx="3019425" cy="1857375"/>
                  <wp:effectExtent l="0" t="0" r="0" b="0"/>
                  <wp:docPr id="62"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C3BE0" w:rsidRPr="00B43F02" w:rsidRDefault="000C3BE0" w:rsidP="00290F8C">
            <w:pPr>
              <w:spacing w:after="0"/>
              <w:jc w:val="center"/>
              <w:rPr>
                <w:rFonts w:ascii="Times" w:hAnsi="Times"/>
                <w:b/>
                <w:noProof/>
                <w:sz w:val="24"/>
                <w:szCs w:val="24"/>
              </w:rPr>
            </w:pPr>
            <w:r w:rsidRPr="00B43F02">
              <w:rPr>
                <w:rFonts w:ascii="Times" w:hAnsi="Times"/>
                <w:b/>
                <w:noProof/>
                <w:sz w:val="24"/>
                <w:szCs w:val="24"/>
              </w:rPr>
              <w:t xml:space="preserve">Figure </w:t>
            </w:r>
            <w:r w:rsidR="00B36E1A" w:rsidRPr="00B43F02">
              <w:rPr>
                <w:rFonts w:ascii="Times" w:hAnsi="Times"/>
                <w:b/>
                <w:noProof/>
                <w:sz w:val="24"/>
                <w:szCs w:val="24"/>
              </w:rPr>
              <w:t>9</w:t>
            </w:r>
            <w:r w:rsidRPr="00B43F02">
              <w:rPr>
                <w:rFonts w:ascii="Times" w:hAnsi="Times"/>
                <w:b/>
                <w:noProof/>
                <w:sz w:val="24"/>
                <w:szCs w:val="24"/>
              </w:rPr>
              <w:t>: Commercial Sector Savings by Fuel Type</w:t>
            </w:r>
          </w:p>
        </w:tc>
      </w:tr>
    </w:tbl>
    <w:p w:rsidR="00290F8C" w:rsidRDefault="00290F8C" w:rsidP="001E59A9">
      <w:pPr>
        <w:spacing w:after="0"/>
        <w:rPr>
          <w:rFonts w:ascii="Times" w:hAnsi="Times"/>
          <w:b/>
          <w:i/>
          <w:sz w:val="24"/>
          <w:szCs w:val="24"/>
        </w:rPr>
      </w:pPr>
    </w:p>
    <w:p w:rsidR="000808A7" w:rsidRPr="00B43F02" w:rsidRDefault="000808A7" w:rsidP="001E59A9">
      <w:pPr>
        <w:spacing w:after="0"/>
        <w:rPr>
          <w:rFonts w:ascii="Times" w:hAnsi="Times"/>
          <w:b/>
          <w:i/>
          <w:sz w:val="24"/>
          <w:szCs w:val="24"/>
        </w:rPr>
      </w:pPr>
      <w:r w:rsidRPr="00B43F02">
        <w:rPr>
          <w:rFonts w:ascii="Times" w:hAnsi="Times"/>
          <w:b/>
          <w:i/>
          <w:sz w:val="24"/>
          <w:szCs w:val="24"/>
        </w:rPr>
        <w:t>Industrial Sector</w:t>
      </w:r>
    </w:p>
    <w:p w:rsidR="007A098F" w:rsidRDefault="004B6C58" w:rsidP="004B6C58">
      <w:pPr>
        <w:spacing w:after="0"/>
        <w:rPr>
          <w:rFonts w:ascii="Times" w:hAnsi="Times"/>
          <w:sz w:val="24"/>
          <w:szCs w:val="24"/>
        </w:rPr>
      </w:pPr>
      <w:r w:rsidRPr="00B43F02">
        <w:rPr>
          <w:rFonts w:ascii="Times" w:hAnsi="Times"/>
          <w:sz w:val="24"/>
          <w:szCs w:val="24"/>
        </w:rPr>
        <w:t xml:space="preserve">The implementation of plant utility upgrades, process improvements, and combined heat and power policies in Tennessee’s industrial sector can reduce projected consumption by about </w:t>
      </w:r>
      <w:r w:rsidR="00693B36">
        <w:rPr>
          <w:rFonts w:ascii="Times" w:hAnsi="Times"/>
          <w:sz w:val="24"/>
          <w:szCs w:val="24"/>
        </w:rPr>
        <w:t>10</w:t>
      </w:r>
      <w:r w:rsidRPr="00B43F02">
        <w:rPr>
          <w:rFonts w:ascii="Times" w:hAnsi="Times"/>
          <w:sz w:val="24"/>
          <w:szCs w:val="24"/>
        </w:rPr>
        <w:t>% (</w:t>
      </w:r>
      <w:r w:rsidR="003E46E0">
        <w:rPr>
          <w:rFonts w:ascii="Times" w:hAnsi="Times"/>
          <w:sz w:val="24"/>
          <w:szCs w:val="24"/>
        </w:rPr>
        <w:t>63</w:t>
      </w:r>
      <w:r w:rsidRPr="00B43F02">
        <w:rPr>
          <w:rFonts w:ascii="Times" w:hAnsi="Times"/>
          <w:sz w:val="24"/>
          <w:szCs w:val="24"/>
        </w:rPr>
        <w:t xml:space="preserve"> TBtu) in 2020 and </w:t>
      </w:r>
      <w:r w:rsidR="00693B36">
        <w:rPr>
          <w:rFonts w:ascii="Times" w:hAnsi="Times"/>
          <w:sz w:val="24"/>
          <w:szCs w:val="24"/>
        </w:rPr>
        <w:t>14</w:t>
      </w:r>
      <w:r w:rsidRPr="00B43F02">
        <w:rPr>
          <w:rFonts w:ascii="Times" w:hAnsi="Times"/>
          <w:sz w:val="24"/>
          <w:szCs w:val="24"/>
        </w:rPr>
        <w:t>% (</w:t>
      </w:r>
      <w:r w:rsidR="003E46E0">
        <w:rPr>
          <w:rFonts w:ascii="Times" w:hAnsi="Times"/>
          <w:sz w:val="24"/>
          <w:szCs w:val="24"/>
        </w:rPr>
        <w:t>97</w:t>
      </w:r>
      <w:r w:rsidRPr="00B43F02">
        <w:rPr>
          <w:rFonts w:ascii="Times" w:hAnsi="Times"/>
          <w:sz w:val="24"/>
          <w:szCs w:val="24"/>
        </w:rPr>
        <w:t xml:space="preserve"> TBtu) in 2030 (Figure 10).  The industrial energy required by about </w:t>
      </w:r>
      <w:r w:rsidR="00AD3EB4">
        <w:rPr>
          <w:rFonts w:ascii="Times" w:hAnsi="Times"/>
          <w:sz w:val="24"/>
          <w:szCs w:val="24"/>
        </w:rPr>
        <w:t>91</w:t>
      </w:r>
      <w:r w:rsidRPr="00B43F02">
        <w:rPr>
          <w:rFonts w:ascii="Times" w:hAnsi="Times"/>
          <w:sz w:val="24"/>
          <w:szCs w:val="24"/>
        </w:rPr>
        <w:t xml:space="preserve"> </w:t>
      </w:r>
      <w:proofErr w:type="gramStart"/>
      <w:r w:rsidRPr="00B43F02">
        <w:rPr>
          <w:rFonts w:ascii="Times" w:hAnsi="Times"/>
          <w:sz w:val="24"/>
          <w:szCs w:val="24"/>
        </w:rPr>
        <w:t>average</w:t>
      </w:r>
      <w:proofErr w:type="gramEnd"/>
      <w:r w:rsidRPr="00B43F02">
        <w:rPr>
          <w:rFonts w:ascii="Times" w:hAnsi="Times"/>
          <w:sz w:val="24"/>
          <w:szCs w:val="24"/>
        </w:rPr>
        <w:t xml:space="preserve"> industrial facilities</w:t>
      </w:r>
      <w:r w:rsidR="00635BC1" w:rsidRPr="00B43F02">
        <w:rPr>
          <w:rFonts w:ascii="Times" w:hAnsi="Times"/>
          <w:sz w:val="24"/>
          <w:szCs w:val="24"/>
        </w:rPr>
        <w:t xml:space="preserve"> is avoided in 2020, or about </w:t>
      </w:r>
      <w:r w:rsidRPr="00B43F02">
        <w:rPr>
          <w:rFonts w:ascii="Times" w:hAnsi="Times"/>
          <w:sz w:val="24"/>
          <w:szCs w:val="24"/>
        </w:rPr>
        <w:t>$</w:t>
      </w:r>
      <w:r w:rsidR="00483015">
        <w:rPr>
          <w:rFonts w:ascii="Times" w:hAnsi="Times"/>
          <w:sz w:val="24"/>
          <w:szCs w:val="24"/>
        </w:rPr>
        <w:t>7</w:t>
      </w:r>
      <w:r w:rsidR="00575DBB">
        <w:rPr>
          <w:rFonts w:ascii="Times" w:hAnsi="Times"/>
          <w:sz w:val="24"/>
          <w:szCs w:val="24"/>
        </w:rPr>
        <w:t>3</w:t>
      </w:r>
      <w:r w:rsidR="00483015">
        <w:rPr>
          <w:rFonts w:ascii="Times" w:hAnsi="Times"/>
          <w:sz w:val="24"/>
          <w:szCs w:val="24"/>
        </w:rPr>
        <w:t>,</w:t>
      </w:r>
      <w:r w:rsidR="00575DBB">
        <w:rPr>
          <w:rFonts w:ascii="Times" w:hAnsi="Times"/>
          <w:sz w:val="24"/>
          <w:szCs w:val="24"/>
        </w:rPr>
        <w:t>0</w:t>
      </w:r>
      <w:r w:rsidR="00483015">
        <w:rPr>
          <w:rFonts w:ascii="Times" w:hAnsi="Times"/>
          <w:sz w:val="24"/>
          <w:szCs w:val="24"/>
        </w:rPr>
        <w:t>00 average annual savings</w:t>
      </w:r>
      <w:r w:rsidRPr="00B43F02">
        <w:rPr>
          <w:rFonts w:ascii="Times" w:hAnsi="Times"/>
          <w:sz w:val="24"/>
          <w:szCs w:val="24"/>
        </w:rPr>
        <w:t xml:space="preserve"> per industrial facility.  The principal energy savings are from electricity, but significant natural gas savings could also occur (Figure 11).  These three energy efficiency policies could</w:t>
      </w:r>
      <w:r w:rsidR="00C036D0" w:rsidRPr="00B43F02">
        <w:rPr>
          <w:rFonts w:ascii="Times" w:hAnsi="Times"/>
          <w:sz w:val="24"/>
          <w:szCs w:val="24"/>
        </w:rPr>
        <w:t xml:space="preserve"> nearly eliminate any growth in consumption of industrial energy over the next two dec</w:t>
      </w:r>
      <w:r w:rsidR="00967342" w:rsidRPr="00B43F02">
        <w:rPr>
          <w:rFonts w:ascii="Times" w:hAnsi="Times"/>
          <w:sz w:val="24"/>
          <w:szCs w:val="24"/>
        </w:rPr>
        <w:t>ades</w:t>
      </w:r>
      <w:r w:rsidRPr="00B43F02">
        <w:rPr>
          <w:rFonts w:ascii="Times" w:hAnsi="Times"/>
          <w:sz w:val="24"/>
          <w:szCs w:val="24"/>
        </w:rPr>
        <w:t xml:space="preserve">. </w:t>
      </w:r>
    </w:p>
    <w:p w:rsidR="00290F8C" w:rsidRPr="00290F8C" w:rsidRDefault="00290F8C" w:rsidP="004B6C58">
      <w:pPr>
        <w:spacing w:after="0"/>
        <w:rPr>
          <w:rFonts w:ascii="Times" w:hAnsi="Times"/>
          <w:sz w:val="12"/>
          <w:szCs w:val="24"/>
        </w:rPr>
      </w:pPr>
    </w:p>
    <w:tbl>
      <w:tblPr>
        <w:tblW w:w="10440" w:type="dxa"/>
        <w:tblInd w:w="-342" w:type="dxa"/>
        <w:tblLayout w:type="fixed"/>
        <w:tblLook w:val="04A0"/>
      </w:tblPr>
      <w:tblGrid>
        <w:gridCol w:w="4950"/>
        <w:gridCol w:w="5490"/>
      </w:tblGrid>
      <w:tr w:rsidR="000C3BE0" w:rsidRPr="00B43F02">
        <w:trPr>
          <w:trHeight w:val="3321"/>
        </w:trPr>
        <w:tc>
          <w:tcPr>
            <w:tcW w:w="4950" w:type="dxa"/>
          </w:tcPr>
          <w:p w:rsidR="000C3BE0" w:rsidRPr="00B43F02" w:rsidRDefault="00C43EC0" w:rsidP="001E59A9">
            <w:pPr>
              <w:spacing w:after="0"/>
              <w:rPr>
                <w:rFonts w:ascii="Times" w:hAnsi="Times"/>
                <w:b/>
                <w:noProof/>
                <w:sz w:val="24"/>
                <w:szCs w:val="24"/>
              </w:rPr>
            </w:pPr>
            <w:r w:rsidRPr="00B43F02">
              <w:rPr>
                <w:rFonts w:ascii="Times" w:hAnsi="Times"/>
                <w:b/>
                <w:noProof/>
                <w:sz w:val="24"/>
                <w:szCs w:val="24"/>
                <w:lang w:eastAsia="en-US"/>
              </w:rPr>
              <w:drawing>
                <wp:inline distT="0" distB="0" distL="0" distR="0">
                  <wp:extent cx="3152775" cy="1895475"/>
                  <wp:effectExtent l="0" t="0" r="0" b="0"/>
                  <wp:docPr id="6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3BE0" w:rsidRPr="00B43F02" w:rsidRDefault="000C3BE0" w:rsidP="001E59A9">
            <w:pPr>
              <w:spacing w:after="0"/>
              <w:jc w:val="center"/>
              <w:rPr>
                <w:rFonts w:ascii="Times" w:hAnsi="Times"/>
                <w:b/>
                <w:sz w:val="24"/>
                <w:szCs w:val="24"/>
              </w:rPr>
            </w:pPr>
            <w:r w:rsidRPr="00B43F02">
              <w:rPr>
                <w:rFonts w:ascii="Times" w:hAnsi="Times"/>
                <w:b/>
                <w:noProof/>
                <w:sz w:val="24"/>
                <w:szCs w:val="24"/>
              </w:rPr>
              <w:t xml:space="preserve">Figure </w:t>
            </w:r>
            <w:r w:rsidR="00AD3EB4">
              <w:rPr>
                <w:rFonts w:ascii="Times" w:hAnsi="Times"/>
                <w:b/>
                <w:noProof/>
                <w:sz w:val="24"/>
                <w:szCs w:val="24"/>
              </w:rPr>
              <w:t>10</w:t>
            </w:r>
            <w:r w:rsidRPr="00B43F02">
              <w:rPr>
                <w:rFonts w:ascii="Times" w:hAnsi="Times"/>
                <w:b/>
                <w:noProof/>
                <w:sz w:val="24"/>
                <w:szCs w:val="24"/>
              </w:rPr>
              <w:t xml:space="preserve">: </w:t>
            </w:r>
            <w:r w:rsidRPr="00B43F02">
              <w:rPr>
                <w:rFonts w:ascii="Times" w:hAnsi="Times"/>
                <w:b/>
                <w:sz w:val="24"/>
                <w:szCs w:val="24"/>
              </w:rPr>
              <w:t>Industrial</w:t>
            </w:r>
            <w:r w:rsidRPr="00B43F02">
              <w:rPr>
                <w:rFonts w:ascii="Times" w:hAnsi="Times"/>
                <w:sz w:val="24"/>
                <w:szCs w:val="24"/>
              </w:rPr>
              <w:t xml:space="preserve"> </w:t>
            </w:r>
            <w:r w:rsidRPr="00B43F02">
              <w:rPr>
                <w:rFonts w:ascii="Times" w:hAnsi="Times"/>
                <w:b/>
                <w:noProof/>
                <w:sz w:val="24"/>
                <w:szCs w:val="24"/>
              </w:rPr>
              <w:t>Sector Savings</w:t>
            </w:r>
          </w:p>
        </w:tc>
        <w:tc>
          <w:tcPr>
            <w:tcW w:w="5490" w:type="dxa"/>
          </w:tcPr>
          <w:p w:rsidR="000C3BE0" w:rsidRPr="00B43F02" w:rsidRDefault="00C43EC0" w:rsidP="00290F8C">
            <w:pPr>
              <w:tabs>
                <w:tab w:val="left" w:pos="1770"/>
              </w:tabs>
              <w:spacing w:after="0"/>
              <w:jc w:val="both"/>
              <w:rPr>
                <w:rFonts w:ascii="Times" w:hAnsi="Times"/>
                <w:b/>
                <w:noProof/>
                <w:sz w:val="24"/>
                <w:szCs w:val="24"/>
              </w:rPr>
            </w:pPr>
            <w:r w:rsidRPr="00B43F02">
              <w:rPr>
                <w:rFonts w:ascii="Times" w:hAnsi="Times"/>
                <w:b/>
                <w:noProof/>
                <w:sz w:val="24"/>
                <w:szCs w:val="24"/>
                <w:lang w:eastAsia="en-US"/>
              </w:rPr>
              <w:drawing>
                <wp:inline distT="0" distB="0" distL="0" distR="0">
                  <wp:extent cx="3333750" cy="1895475"/>
                  <wp:effectExtent l="0" t="0" r="0" b="0"/>
                  <wp:docPr id="67"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C3BE0" w:rsidRPr="00B43F02" w:rsidRDefault="000C3BE0" w:rsidP="006C2AE3">
            <w:pPr>
              <w:spacing w:after="0"/>
              <w:jc w:val="center"/>
              <w:rPr>
                <w:rFonts w:ascii="Times" w:hAnsi="Times"/>
                <w:b/>
                <w:noProof/>
                <w:sz w:val="24"/>
                <w:szCs w:val="24"/>
              </w:rPr>
            </w:pPr>
            <w:r w:rsidRPr="00B43F02">
              <w:rPr>
                <w:rFonts w:ascii="Times" w:hAnsi="Times"/>
                <w:b/>
                <w:noProof/>
                <w:sz w:val="24"/>
                <w:szCs w:val="24"/>
              </w:rPr>
              <w:t xml:space="preserve">Figure </w:t>
            </w:r>
            <w:r w:rsidR="00AD3EB4">
              <w:rPr>
                <w:rFonts w:ascii="Times" w:hAnsi="Times"/>
                <w:b/>
                <w:noProof/>
                <w:sz w:val="24"/>
                <w:szCs w:val="24"/>
              </w:rPr>
              <w:t>11</w:t>
            </w:r>
            <w:r w:rsidRPr="00B43F02">
              <w:rPr>
                <w:rFonts w:ascii="Times" w:hAnsi="Times"/>
                <w:b/>
                <w:noProof/>
                <w:sz w:val="24"/>
                <w:szCs w:val="24"/>
              </w:rPr>
              <w:t xml:space="preserve">: </w:t>
            </w:r>
            <w:r w:rsidRPr="00B43F02">
              <w:rPr>
                <w:rFonts w:ascii="Times" w:hAnsi="Times"/>
                <w:b/>
                <w:sz w:val="24"/>
                <w:szCs w:val="24"/>
              </w:rPr>
              <w:t>Industrial</w:t>
            </w:r>
            <w:r w:rsidRPr="00B43F02">
              <w:rPr>
                <w:rFonts w:ascii="Times" w:hAnsi="Times"/>
                <w:sz w:val="24"/>
                <w:szCs w:val="24"/>
              </w:rPr>
              <w:t xml:space="preserve"> </w:t>
            </w:r>
            <w:r w:rsidRPr="00B43F02">
              <w:rPr>
                <w:rFonts w:ascii="Times" w:hAnsi="Times"/>
                <w:b/>
                <w:noProof/>
                <w:sz w:val="24"/>
                <w:szCs w:val="24"/>
              </w:rPr>
              <w:t>Sector Savings by Fuel Type</w:t>
            </w:r>
          </w:p>
        </w:tc>
      </w:tr>
    </w:tbl>
    <w:p w:rsidR="00967342" w:rsidRPr="00B43F02" w:rsidRDefault="00967342" w:rsidP="00967342">
      <w:pPr>
        <w:spacing w:after="0" w:line="240" w:lineRule="auto"/>
        <w:rPr>
          <w:rFonts w:ascii="Times New Roman" w:hAnsi="Times New Roman"/>
          <w:b/>
          <w:color w:val="000000"/>
          <w:sz w:val="24"/>
          <w:szCs w:val="24"/>
        </w:rPr>
      </w:pPr>
      <w:r w:rsidRPr="00B43F02">
        <w:rPr>
          <w:rFonts w:ascii="Times New Roman" w:hAnsi="Times New Roman"/>
          <w:b/>
          <w:sz w:val="24"/>
        </w:rPr>
        <w:t>Efficient Technology Opportunities</w:t>
      </w:r>
    </w:p>
    <w:p w:rsidR="00967342" w:rsidRPr="00B43F02" w:rsidRDefault="00967342" w:rsidP="00967342">
      <w:pPr>
        <w:pStyle w:val="Default"/>
        <w:spacing w:line="276" w:lineRule="auto"/>
      </w:pPr>
      <w:r w:rsidRPr="00B43F02">
        <w:t xml:space="preserve">The projected energy-efficiency potential can be realized through an array of new and existing technologies.  </w:t>
      </w:r>
      <w:r w:rsidRPr="00B43F02">
        <w:rPr>
          <w:i/>
        </w:rPr>
        <w:t xml:space="preserve">Energy Efficiency in the South </w:t>
      </w:r>
      <w:r w:rsidRPr="00B43F02">
        <w:t>describes a number of these.</w:t>
      </w:r>
    </w:p>
    <w:p w:rsidR="00967342" w:rsidRPr="00B43F02" w:rsidRDefault="00967342" w:rsidP="00967342">
      <w:pPr>
        <w:pStyle w:val="Default"/>
        <w:tabs>
          <w:tab w:val="left" w:pos="900"/>
        </w:tabs>
        <w:spacing w:line="276" w:lineRule="auto"/>
      </w:pPr>
      <w:r w:rsidRPr="00B43F02">
        <w:tab/>
      </w:r>
    </w:p>
    <w:p w:rsidR="00967342" w:rsidRPr="00B43F02" w:rsidRDefault="00967342" w:rsidP="00967342">
      <w:pPr>
        <w:pStyle w:val="Default"/>
        <w:spacing w:line="276" w:lineRule="auto"/>
      </w:pPr>
      <w:r w:rsidRPr="00B43F02">
        <w:t xml:space="preserve">Emerging residential products can provide greater energy savings without sacrificing performance.  For instance, currently available heat pump water heaters can cut </w:t>
      </w:r>
      <w:r w:rsidR="00DF67FF" w:rsidRPr="002D37E4">
        <w:rPr>
          <w:color w:val="auto"/>
        </w:rPr>
        <w:t xml:space="preserve">annual energy costs for water heating </w:t>
      </w:r>
      <w:r w:rsidR="00DF67FF">
        <w:rPr>
          <w:color w:val="auto"/>
        </w:rPr>
        <w:t xml:space="preserve">up to </w:t>
      </w:r>
      <w:r w:rsidR="00DF67FF" w:rsidRPr="002D37E4">
        <w:rPr>
          <w:color w:val="auto"/>
        </w:rPr>
        <w:t>62%</w:t>
      </w:r>
      <w:r w:rsidRPr="00B43F02">
        <w:t>.</w:t>
      </w:r>
      <w:r w:rsidR="00636B99" w:rsidRPr="00B43F02">
        <w:rPr>
          <w:szCs w:val="23"/>
          <w:vertAlign w:val="superscript"/>
        </w:rPr>
        <w:t xml:space="preserve"> 10</w:t>
      </w:r>
      <w:r w:rsidRPr="00B43F02">
        <w:t xml:space="preserve">  </w:t>
      </w:r>
    </w:p>
    <w:p w:rsidR="00967342" w:rsidRPr="00B43F02" w:rsidRDefault="00967342" w:rsidP="00967342">
      <w:pPr>
        <w:pStyle w:val="Default"/>
        <w:spacing w:line="276" w:lineRule="auto"/>
      </w:pPr>
    </w:p>
    <w:p w:rsidR="00967342" w:rsidRPr="00B43F02" w:rsidRDefault="00967342" w:rsidP="00967342">
      <w:pPr>
        <w:pStyle w:val="Default"/>
        <w:spacing w:line="276" w:lineRule="auto"/>
      </w:pPr>
      <w:r w:rsidRPr="00B43F02">
        <w:t>Opportunities for commercial energy efficiency may be obtained through technologies like the geothermal heat pump (ground-source heat pump), which can reduce energy consumption by up to 44% when compared to air-source heat pumps and by up to 72% when compared to electric resistance heating with standard air-conditioning equipment.  Though the installation cost is higher, the long lifetime of 20-25 years ensures energy bill saving benefits over time.</w:t>
      </w:r>
      <w:r w:rsidR="00636B99" w:rsidRPr="00B43F02">
        <w:rPr>
          <w:szCs w:val="23"/>
          <w:vertAlign w:val="superscript"/>
        </w:rPr>
        <w:t xml:space="preserve"> 11</w:t>
      </w:r>
    </w:p>
    <w:p w:rsidR="00967342" w:rsidRPr="00B43F02" w:rsidRDefault="00967342" w:rsidP="00967342">
      <w:pPr>
        <w:pStyle w:val="HTMLPreformatted"/>
        <w:spacing w:line="276" w:lineRule="auto"/>
        <w:rPr>
          <w:rFonts w:ascii="Times New Roman" w:eastAsia="SimSun" w:hAnsi="Times New Roman" w:cs="Times New Roman"/>
          <w:color w:val="000000"/>
          <w:sz w:val="24"/>
          <w:szCs w:val="24"/>
          <w:lang w:eastAsia="zh-CN"/>
        </w:rPr>
      </w:pPr>
    </w:p>
    <w:p w:rsidR="00FB0B20" w:rsidRDefault="00967342" w:rsidP="00967342">
      <w:pPr>
        <w:pStyle w:val="HTMLPreformatted"/>
        <w:spacing w:line="276" w:lineRule="auto"/>
        <w:rPr>
          <w:rFonts w:ascii="Times" w:hAnsi="Times"/>
          <w:sz w:val="24"/>
        </w:rPr>
      </w:pPr>
      <w:r w:rsidRPr="00B43F02">
        <w:rPr>
          <w:rFonts w:ascii="Times" w:hAnsi="Times"/>
          <w:sz w:val="24"/>
        </w:rPr>
        <w:t>Super boilers, which represent over 95 percent fuel-to-steam efficiency, can be implemented in the industrial sector.  This technology is able to improve heat transfer through the use of advanced firetubes with extended surfaces that help achieve a compact design through reducing size, weight, and footprint.  The advanced heat recovery system combines compact economizers, a humidifying air heater, and a patented transport membrane condenser.</w:t>
      </w:r>
      <w:r w:rsidR="00636B99" w:rsidRPr="00B43F02">
        <w:rPr>
          <w:rFonts w:ascii="Times New Roman" w:hAnsi="Times New Roman"/>
          <w:sz w:val="24"/>
          <w:szCs w:val="23"/>
          <w:vertAlign w:val="superscript"/>
        </w:rPr>
        <w:t xml:space="preserve"> 12</w:t>
      </w:r>
      <w:r w:rsidRPr="00B43F02">
        <w:rPr>
          <w:rFonts w:ascii="Times" w:hAnsi="Times"/>
          <w:sz w:val="24"/>
        </w:rPr>
        <w:t xml:space="preserve"> </w:t>
      </w:r>
    </w:p>
    <w:p w:rsidR="00FB0B20" w:rsidRDefault="00FB0B20" w:rsidP="00967342">
      <w:pPr>
        <w:pStyle w:val="HTMLPreformatted"/>
        <w:spacing w:line="276" w:lineRule="auto"/>
        <w:rPr>
          <w:rFonts w:ascii="Times" w:hAnsi="Times"/>
          <w:sz w:val="24"/>
        </w:rPr>
      </w:pPr>
    </w:p>
    <w:p w:rsidR="00967342" w:rsidRPr="00B43F02" w:rsidRDefault="00967342" w:rsidP="00967342">
      <w:pPr>
        <w:pStyle w:val="HTMLPreformatted"/>
        <w:spacing w:line="276" w:lineRule="auto"/>
        <w:rPr>
          <w:rFonts w:ascii="Times" w:hAnsi="Times"/>
          <w:sz w:val="24"/>
        </w:rPr>
      </w:pPr>
      <w:r w:rsidRPr="00B43F02">
        <w:rPr>
          <w:rFonts w:ascii="Times New Roman" w:hAnsi="Times New Roman"/>
          <w:sz w:val="24"/>
          <w:szCs w:val="24"/>
        </w:rPr>
        <w:t xml:space="preserve">These technologies are illustrative.  Please refer to </w:t>
      </w:r>
      <w:r w:rsidRPr="00B43F02">
        <w:rPr>
          <w:rFonts w:ascii="Times New Roman" w:hAnsi="Times New Roman"/>
          <w:i/>
          <w:sz w:val="24"/>
          <w:szCs w:val="24"/>
        </w:rPr>
        <w:t>Energy Efficiency in the South</w:t>
      </w:r>
      <w:r w:rsidRPr="00B43F02">
        <w:rPr>
          <w:rFonts w:ascii="Times New Roman" w:hAnsi="Times New Roman"/>
          <w:sz w:val="24"/>
          <w:szCs w:val="24"/>
        </w:rPr>
        <w:t xml:space="preserve"> by Brown et al. for additional technology descriptions and examples.</w:t>
      </w:r>
    </w:p>
    <w:p w:rsidR="00967342" w:rsidRPr="00B43F02" w:rsidRDefault="00967342" w:rsidP="00967342">
      <w:pPr>
        <w:spacing w:after="0"/>
        <w:rPr>
          <w:rFonts w:ascii="Times" w:hAnsi="Times"/>
          <w:b/>
          <w:sz w:val="24"/>
          <w:szCs w:val="24"/>
        </w:rPr>
      </w:pPr>
    </w:p>
    <w:p w:rsidR="00967342" w:rsidRPr="00B43F02" w:rsidRDefault="00967342" w:rsidP="00967342">
      <w:pPr>
        <w:spacing w:after="0"/>
        <w:rPr>
          <w:rFonts w:ascii="Times" w:hAnsi="Times"/>
          <w:b/>
          <w:sz w:val="24"/>
          <w:szCs w:val="24"/>
        </w:rPr>
      </w:pPr>
      <w:r w:rsidRPr="00B43F02">
        <w:rPr>
          <w:rFonts w:ascii="Times" w:hAnsi="Times"/>
          <w:b/>
          <w:sz w:val="24"/>
          <w:szCs w:val="24"/>
        </w:rPr>
        <w:t>Economic and Financial Impacts</w:t>
      </w:r>
    </w:p>
    <w:p w:rsidR="00F71167" w:rsidRPr="00C424BF" w:rsidRDefault="00396512" w:rsidP="00F71167">
      <w:pPr>
        <w:spacing w:after="0"/>
        <w:rPr>
          <w:rFonts w:ascii="Times" w:eastAsia="Batang" w:hAnsi="Times"/>
          <w:color w:val="000000"/>
          <w:sz w:val="24"/>
          <w:szCs w:val="24"/>
          <w:lang w:eastAsia="ko-KR"/>
        </w:rPr>
      </w:pPr>
      <w:r w:rsidRPr="00C424BF">
        <w:rPr>
          <w:rFonts w:ascii="Times" w:hAnsi="Times"/>
          <w:color w:val="000000"/>
          <w:sz w:val="24"/>
          <w:szCs w:val="24"/>
        </w:rPr>
        <w:t xml:space="preserve">The nine energy efficiency policies evaluated in </w:t>
      </w:r>
      <w:r w:rsidRPr="00C424BF">
        <w:rPr>
          <w:rFonts w:ascii="Times" w:hAnsi="Times"/>
          <w:i/>
          <w:color w:val="000000"/>
          <w:sz w:val="24"/>
          <w:szCs w:val="24"/>
        </w:rPr>
        <w:t>Energy Efficiency in the South</w:t>
      </w:r>
      <w:r w:rsidRPr="00C424BF">
        <w:rPr>
          <w:rFonts w:ascii="Times" w:hAnsi="Times"/>
          <w:color w:val="000000"/>
          <w:sz w:val="24"/>
          <w:szCs w:val="24"/>
        </w:rPr>
        <w:t xml:space="preserve"> would reduce energy costs for Tennessee consumers and would generate jobs in the State (Table 1). </w:t>
      </w:r>
      <w:r w:rsidRPr="00C424BF">
        <w:rPr>
          <w:rFonts w:ascii="Times" w:hAnsi="Times" w:hint="eastAsia"/>
          <w:color w:val="000000"/>
          <w:sz w:val="24"/>
          <w:szCs w:val="24"/>
        </w:rPr>
        <w:t>R</w:t>
      </w:r>
      <w:r w:rsidRPr="00C424BF">
        <w:rPr>
          <w:rFonts w:ascii="Times" w:hAnsi="Times"/>
          <w:color w:val="000000"/>
          <w:sz w:val="24"/>
          <w:szCs w:val="24"/>
        </w:rPr>
        <w:t xml:space="preserve">esidential, commercial and industrial consumers could benefit from </w:t>
      </w:r>
      <w:r w:rsidRPr="00C424BF">
        <w:rPr>
          <w:rFonts w:ascii="Times" w:hAnsi="Times" w:hint="eastAsia"/>
          <w:color w:val="000000"/>
          <w:sz w:val="24"/>
          <w:szCs w:val="24"/>
        </w:rPr>
        <w:t xml:space="preserve">total energy </w:t>
      </w:r>
      <w:r w:rsidRPr="00C424BF">
        <w:rPr>
          <w:rFonts w:ascii="Times" w:hAnsi="Times"/>
          <w:color w:val="000000"/>
          <w:sz w:val="24"/>
          <w:szCs w:val="24"/>
        </w:rPr>
        <w:t xml:space="preserve">savings of </w:t>
      </w:r>
      <w:r w:rsidRPr="00C424BF">
        <w:rPr>
          <w:rFonts w:ascii="Times" w:hAnsi="Times" w:hint="eastAsia"/>
          <w:color w:val="000000"/>
          <w:sz w:val="24"/>
          <w:szCs w:val="24"/>
        </w:rPr>
        <w:t>$1.</w:t>
      </w:r>
      <w:r w:rsidR="00D91AE8" w:rsidRPr="00C424BF">
        <w:rPr>
          <w:rFonts w:ascii="Times" w:hAnsi="Times"/>
          <w:color w:val="000000"/>
          <w:sz w:val="24"/>
          <w:szCs w:val="24"/>
        </w:rPr>
        <w:t>6</w:t>
      </w:r>
      <w:r w:rsidRPr="00C424BF">
        <w:rPr>
          <w:rFonts w:ascii="Times" w:hAnsi="Times" w:hint="eastAsia"/>
          <w:color w:val="000000"/>
          <w:sz w:val="24"/>
          <w:szCs w:val="24"/>
        </w:rPr>
        <w:t xml:space="preserve"> billion</w:t>
      </w:r>
      <w:r w:rsidRPr="00C424BF">
        <w:rPr>
          <w:rFonts w:ascii="Times" w:hAnsi="Times"/>
          <w:color w:val="000000"/>
          <w:sz w:val="24"/>
          <w:szCs w:val="24"/>
        </w:rPr>
        <w:t xml:space="preserve"> in 2020</w:t>
      </w:r>
      <w:r w:rsidRPr="00C424BF">
        <w:rPr>
          <w:rFonts w:ascii="Times" w:hAnsi="Times" w:hint="eastAsia"/>
          <w:color w:val="000000"/>
          <w:sz w:val="24"/>
          <w:szCs w:val="24"/>
        </w:rPr>
        <w:t xml:space="preserve"> (</w:t>
      </w:r>
      <w:r w:rsidRPr="00C424BF">
        <w:rPr>
          <w:rFonts w:ascii="Times" w:hAnsi="Times"/>
          <w:color w:val="000000"/>
          <w:sz w:val="24"/>
          <w:szCs w:val="24"/>
        </w:rPr>
        <w:t>$</w:t>
      </w:r>
      <w:r w:rsidRPr="00C424BF">
        <w:rPr>
          <w:rFonts w:ascii="Times" w:hAnsi="Times" w:hint="eastAsia"/>
          <w:color w:val="000000"/>
          <w:sz w:val="24"/>
          <w:szCs w:val="24"/>
        </w:rPr>
        <w:t>1.</w:t>
      </w:r>
      <w:r w:rsidR="00D91AE8" w:rsidRPr="00C424BF">
        <w:rPr>
          <w:rFonts w:ascii="Times" w:hAnsi="Times"/>
          <w:color w:val="000000"/>
          <w:sz w:val="24"/>
          <w:szCs w:val="24"/>
        </w:rPr>
        <w:t>1</w:t>
      </w:r>
      <w:r w:rsidRPr="00C424BF">
        <w:rPr>
          <w:rFonts w:ascii="Times" w:hAnsi="Times"/>
          <w:color w:val="000000"/>
          <w:sz w:val="24"/>
          <w:szCs w:val="24"/>
        </w:rPr>
        <w:t xml:space="preserve"> billion</w:t>
      </w:r>
      <w:r w:rsidRPr="00C424BF">
        <w:rPr>
          <w:rFonts w:ascii="Times" w:hAnsi="Times" w:hint="eastAsia"/>
          <w:color w:val="000000"/>
          <w:sz w:val="24"/>
          <w:szCs w:val="24"/>
        </w:rPr>
        <w:t xml:space="preserve"> of which is specific to </w:t>
      </w:r>
      <w:r w:rsidRPr="00C424BF">
        <w:rPr>
          <w:rFonts w:ascii="Times" w:hAnsi="Times"/>
          <w:color w:val="000000"/>
          <w:sz w:val="24"/>
          <w:szCs w:val="24"/>
        </w:rPr>
        <w:t>electricity</w:t>
      </w:r>
      <w:r w:rsidRPr="00C424BF">
        <w:rPr>
          <w:rFonts w:ascii="Times" w:hAnsi="Times" w:hint="eastAsia"/>
          <w:color w:val="000000"/>
          <w:sz w:val="24"/>
          <w:szCs w:val="24"/>
        </w:rPr>
        <w:t>)</w:t>
      </w:r>
      <w:r w:rsidRPr="00C424BF">
        <w:rPr>
          <w:rFonts w:ascii="Times" w:hAnsi="Times"/>
          <w:color w:val="000000"/>
          <w:sz w:val="24"/>
          <w:szCs w:val="24"/>
        </w:rPr>
        <w:t xml:space="preserve">, and </w:t>
      </w:r>
      <w:r w:rsidRPr="00C424BF">
        <w:rPr>
          <w:rFonts w:ascii="Times" w:hAnsi="Times" w:hint="eastAsia"/>
          <w:color w:val="000000"/>
          <w:sz w:val="24"/>
          <w:szCs w:val="24"/>
        </w:rPr>
        <w:t>$3.</w:t>
      </w:r>
      <w:r w:rsidR="00D91AE8" w:rsidRPr="00C424BF">
        <w:rPr>
          <w:rFonts w:ascii="Times" w:hAnsi="Times"/>
          <w:color w:val="000000"/>
          <w:sz w:val="24"/>
          <w:szCs w:val="24"/>
        </w:rPr>
        <w:t>1</w:t>
      </w:r>
      <w:r w:rsidRPr="00C424BF">
        <w:rPr>
          <w:rFonts w:ascii="Times" w:hAnsi="Times" w:hint="eastAsia"/>
          <w:color w:val="000000"/>
          <w:sz w:val="24"/>
          <w:szCs w:val="24"/>
        </w:rPr>
        <w:t xml:space="preserve"> billion in</w:t>
      </w:r>
      <w:r w:rsidRPr="00C424BF">
        <w:rPr>
          <w:rFonts w:ascii="Times" w:hAnsi="Times"/>
          <w:color w:val="000000"/>
          <w:sz w:val="24"/>
          <w:szCs w:val="24"/>
        </w:rPr>
        <w:t xml:space="preserve"> </w:t>
      </w:r>
      <w:r w:rsidRPr="00C424BF">
        <w:rPr>
          <w:rFonts w:ascii="Times" w:hAnsi="Times" w:hint="eastAsia"/>
          <w:color w:val="000000"/>
          <w:sz w:val="24"/>
          <w:szCs w:val="24"/>
        </w:rPr>
        <w:t xml:space="preserve">total energy </w:t>
      </w:r>
      <w:r w:rsidRPr="00C424BF">
        <w:rPr>
          <w:rFonts w:ascii="Times" w:hAnsi="Times"/>
          <w:color w:val="000000"/>
          <w:sz w:val="24"/>
          <w:szCs w:val="24"/>
        </w:rPr>
        <w:t xml:space="preserve">savings in 2030. </w:t>
      </w:r>
      <w:r w:rsidR="005811EE">
        <w:rPr>
          <w:rFonts w:ascii="Times" w:hAnsi="Times"/>
          <w:color w:val="000000"/>
          <w:sz w:val="24"/>
          <w:szCs w:val="24"/>
        </w:rPr>
        <w:t xml:space="preserve"> </w:t>
      </w:r>
      <w:r w:rsidRPr="00C424BF">
        <w:rPr>
          <w:rFonts w:ascii="Times" w:hAnsi="Times" w:cs="Times"/>
          <w:color w:val="000000"/>
          <w:sz w:val="24"/>
          <w:szCs w:val="24"/>
        </w:rPr>
        <w:t>In comparison, the State spent $7.5 billion on electricity in 2007</w:t>
      </w:r>
      <w:r w:rsidR="00F71167" w:rsidRPr="00C424BF">
        <w:rPr>
          <w:rFonts w:ascii="Times" w:hAnsi="Times"/>
          <w:color w:val="000000"/>
          <w:sz w:val="24"/>
          <w:szCs w:val="24"/>
        </w:rPr>
        <w:t>.</w:t>
      </w:r>
      <w:r w:rsidR="00B26D83" w:rsidRPr="00C424BF">
        <w:rPr>
          <w:rFonts w:ascii="Times" w:eastAsia="Batang" w:hAnsi="Times"/>
          <w:color w:val="000000"/>
          <w:sz w:val="24"/>
          <w:szCs w:val="24"/>
          <w:vertAlign w:val="superscript"/>
          <w:lang w:eastAsia="ko-KR"/>
        </w:rPr>
        <w:t>13</w:t>
      </w:r>
    </w:p>
    <w:p w:rsidR="00111229" w:rsidRPr="00111229" w:rsidRDefault="00111229" w:rsidP="00F71167">
      <w:pPr>
        <w:spacing w:after="0"/>
        <w:rPr>
          <w:rFonts w:ascii="Times" w:hAnsi="Times"/>
          <w:color w:val="000000"/>
          <w:sz w:val="24"/>
          <w:szCs w:val="24"/>
        </w:rPr>
      </w:pPr>
    </w:p>
    <w:p w:rsidR="00111229" w:rsidRPr="00191544" w:rsidRDefault="00111229" w:rsidP="00F71167">
      <w:pPr>
        <w:spacing w:after="0"/>
        <w:rPr>
          <w:rFonts w:ascii="Times" w:eastAsia="Batang" w:hAnsi="Times"/>
          <w:color w:val="000000"/>
          <w:sz w:val="24"/>
          <w:szCs w:val="24"/>
          <w:lang w:eastAsia="ko-KR"/>
        </w:rPr>
      </w:pPr>
      <w:r w:rsidRPr="00111229">
        <w:rPr>
          <w:rFonts w:ascii="Times" w:hAnsi="Times"/>
          <w:color w:val="000000"/>
          <w:sz w:val="24"/>
          <w:szCs w:val="24"/>
        </w:rPr>
        <w:t xml:space="preserve">Using an input-output calculation method from ACEEE – with state-specific impact coefficients and accounting for declines in employment in the electricity and natural gas sectors – we estimated that Tennessee would experience a net gain of </w:t>
      </w:r>
      <w:r w:rsidRPr="00111229">
        <w:rPr>
          <w:rFonts w:ascii="Times" w:hAnsi="Times"/>
          <w:bCs/>
          <w:color w:val="000000"/>
          <w:sz w:val="24"/>
          <w:szCs w:val="24"/>
        </w:rPr>
        <w:t>15,</w:t>
      </w:r>
      <w:r w:rsidR="00A35889">
        <w:rPr>
          <w:rFonts w:ascii="Times" w:hAnsi="Times"/>
          <w:bCs/>
          <w:color w:val="000000"/>
          <w:sz w:val="24"/>
          <w:szCs w:val="24"/>
        </w:rPr>
        <w:t>6</w:t>
      </w:r>
      <w:r w:rsidR="00A35889" w:rsidRPr="00111229">
        <w:rPr>
          <w:rFonts w:ascii="Times" w:hAnsi="Times"/>
          <w:bCs/>
          <w:color w:val="000000"/>
          <w:sz w:val="24"/>
          <w:szCs w:val="24"/>
        </w:rPr>
        <w:t>00</w:t>
      </w:r>
      <w:r w:rsidR="00A35889" w:rsidRPr="00111229">
        <w:rPr>
          <w:rFonts w:ascii="Times" w:hAnsi="Times"/>
          <w:color w:val="000000"/>
          <w:sz w:val="24"/>
          <w:szCs w:val="24"/>
        </w:rPr>
        <w:t xml:space="preserve"> </w:t>
      </w:r>
      <w:r w:rsidRPr="00111229">
        <w:rPr>
          <w:rFonts w:ascii="Times" w:hAnsi="Times"/>
          <w:color w:val="000000"/>
          <w:sz w:val="24"/>
          <w:szCs w:val="24"/>
        </w:rPr>
        <w:t xml:space="preserve">jobs in 2020, growing to </w:t>
      </w:r>
      <w:r w:rsidR="00A35889">
        <w:rPr>
          <w:rFonts w:ascii="Times" w:hAnsi="Times"/>
          <w:bCs/>
          <w:color w:val="000000"/>
          <w:sz w:val="24"/>
          <w:szCs w:val="24"/>
        </w:rPr>
        <w:t>21,500</w:t>
      </w:r>
      <w:r w:rsidRPr="00111229">
        <w:rPr>
          <w:rFonts w:ascii="Times" w:hAnsi="Times"/>
          <w:color w:val="000000"/>
          <w:sz w:val="24"/>
          <w:szCs w:val="24"/>
        </w:rPr>
        <w:t xml:space="preserve"> in 2030.  In comparison, there were over </w:t>
      </w:r>
      <w:r w:rsidR="005A62FF">
        <w:rPr>
          <w:rFonts w:ascii="Times" w:hAnsi="Times"/>
          <w:color w:val="000000"/>
          <w:sz w:val="24"/>
          <w:szCs w:val="24"/>
        </w:rPr>
        <w:t>320,000 unemployed residents of Tennessee</w:t>
      </w:r>
      <w:r w:rsidRPr="00111229">
        <w:rPr>
          <w:rFonts w:ascii="Times" w:hAnsi="Times"/>
          <w:color w:val="000000"/>
          <w:sz w:val="24"/>
          <w:szCs w:val="24"/>
        </w:rPr>
        <w:t xml:space="preserve"> at the end of 2009</w:t>
      </w:r>
      <w:r w:rsidR="00AD3EB4" w:rsidRPr="00F05F6E">
        <w:rPr>
          <w:rFonts w:ascii="Times" w:hAnsi="Times"/>
          <w:color w:val="000000"/>
          <w:sz w:val="24"/>
          <w:szCs w:val="24"/>
        </w:rPr>
        <w:t>.</w:t>
      </w:r>
      <w:r w:rsidR="00B26D83" w:rsidRPr="00B26D83">
        <w:rPr>
          <w:rFonts w:ascii="Times" w:eastAsia="Batang" w:hAnsi="Times"/>
          <w:color w:val="000000"/>
          <w:sz w:val="24"/>
          <w:szCs w:val="24"/>
          <w:vertAlign w:val="superscript"/>
          <w:lang w:eastAsia="ko-KR"/>
        </w:rPr>
        <w:t>14</w:t>
      </w:r>
    </w:p>
    <w:p w:rsidR="00111229" w:rsidRDefault="00111229" w:rsidP="00F71167">
      <w:pPr>
        <w:spacing w:after="0"/>
        <w:rPr>
          <w:rFonts w:ascii="Times" w:hAnsi="Times"/>
          <w:color w:val="000000"/>
          <w:sz w:val="24"/>
          <w:szCs w:val="24"/>
        </w:rPr>
      </w:pPr>
    </w:p>
    <w:p w:rsidR="00C424BF" w:rsidRPr="00D04617" w:rsidRDefault="00111229" w:rsidP="00F71167">
      <w:pPr>
        <w:spacing w:after="0"/>
        <w:rPr>
          <w:rFonts w:ascii="Times" w:eastAsia="Batang" w:hAnsi="Times"/>
          <w:color w:val="000000"/>
          <w:sz w:val="24"/>
          <w:szCs w:val="24"/>
          <w:vertAlign w:val="superscript"/>
          <w:lang w:eastAsia="ko-KR"/>
        </w:rPr>
      </w:pPr>
      <w:r w:rsidRPr="00111229">
        <w:rPr>
          <w:rFonts w:ascii="Times" w:hAnsi="Times"/>
          <w:color w:val="000000"/>
          <w:sz w:val="24"/>
          <w:szCs w:val="24"/>
        </w:rPr>
        <w:t>As is true for the South at large, the policies would also lead to an increase in Tennessee's economic activity. Specifically, its Gross State Product would increase by an estimated $</w:t>
      </w:r>
      <w:r w:rsidR="00A35889">
        <w:rPr>
          <w:rFonts w:ascii="Times" w:hAnsi="Times"/>
          <w:bCs/>
          <w:color w:val="000000"/>
          <w:sz w:val="24"/>
          <w:szCs w:val="24"/>
        </w:rPr>
        <w:t>229</w:t>
      </w:r>
      <w:r w:rsidR="00A35889" w:rsidRPr="00111229">
        <w:rPr>
          <w:rFonts w:ascii="Times" w:hAnsi="Times"/>
          <w:color w:val="000000"/>
          <w:sz w:val="24"/>
          <w:szCs w:val="24"/>
        </w:rPr>
        <w:t xml:space="preserve"> </w:t>
      </w:r>
      <w:r w:rsidRPr="00111229">
        <w:rPr>
          <w:rFonts w:ascii="Times" w:hAnsi="Times"/>
          <w:color w:val="000000"/>
          <w:sz w:val="24"/>
          <w:szCs w:val="24"/>
        </w:rPr>
        <w:t>million in 2020 and by $</w:t>
      </w:r>
      <w:r w:rsidR="00A35889">
        <w:rPr>
          <w:rFonts w:ascii="Times" w:hAnsi="Times"/>
          <w:bCs/>
          <w:color w:val="000000"/>
          <w:sz w:val="24"/>
          <w:szCs w:val="24"/>
        </w:rPr>
        <w:t>479</w:t>
      </w:r>
      <w:r w:rsidR="00A35889" w:rsidRPr="00111229">
        <w:rPr>
          <w:rFonts w:ascii="Times" w:hAnsi="Times"/>
          <w:color w:val="000000"/>
          <w:sz w:val="24"/>
          <w:szCs w:val="24"/>
        </w:rPr>
        <w:t xml:space="preserve"> </w:t>
      </w:r>
      <w:r w:rsidRPr="00111229">
        <w:rPr>
          <w:rFonts w:ascii="Times" w:hAnsi="Times"/>
          <w:color w:val="000000"/>
          <w:sz w:val="24"/>
          <w:szCs w:val="24"/>
        </w:rPr>
        <w:t>million in 2030.  This chang</w:t>
      </w:r>
      <w:r w:rsidR="005A62FF">
        <w:rPr>
          <w:rFonts w:ascii="Times" w:hAnsi="Times"/>
          <w:color w:val="000000"/>
          <w:sz w:val="24"/>
          <w:szCs w:val="24"/>
        </w:rPr>
        <w:t>e is a small fraction of Tennessee</w:t>
      </w:r>
      <w:r w:rsidR="00AD3EB4">
        <w:rPr>
          <w:rFonts w:ascii="Times" w:hAnsi="Times"/>
          <w:color w:val="000000"/>
          <w:sz w:val="24"/>
          <w:szCs w:val="24"/>
        </w:rPr>
        <w:t xml:space="preserve">’s </w:t>
      </w:r>
      <w:r w:rsidR="00AD3EB4" w:rsidRPr="00A73914">
        <w:rPr>
          <w:rFonts w:ascii="Times" w:hAnsi="Times"/>
          <w:color w:val="000000"/>
          <w:sz w:val="24"/>
          <w:szCs w:val="24"/>
        </w:rPr>
        <w:t>$</w:t>
      </w:r>
      <w:r w:rsidR="00A73914" w:rsidRPr="00A73914">
        <w:rPr>
          <w:rFonts w:ascii="Times" w:hAnsi="Times"/>
          <w:color w:val="000000"/>
          <w:sz w:val="24"/>
          <w:szCs w:val="24"/>
        </w:rPr>
        <w:t>2</w:t>
      </w:r>
      <w:r w:rsidR="00C0243B">
        <w:rPr>
          <w:rFonts w:ascii="Times" w:hAnsi="Times"/>
          <w:color w:val="000000"/>
          <w:sz w:val="24"/>
          <w:szCs w:val="24"/>
        </w:rPr>
        <w:t>09</w:t>
      </w:r>
      <w:r w:rsidRPr="00A73914">
        <w:rPr>
          <w:rFonts w:ascii="Times" w:hAnsi="Times"/>
          <w:color w:val="000000"/>
          <w:sz w:val="24"/>
          <w:szCs w:val="24"/>
        </w:rPr>
        <w:t xml:space="preserve"> billion</w:t>
      </w:r>
      <w:r w:rsidRPr="00111229">
        <w:rPr>
          <w:rFonts w:ascii="Times" w:hAnsi="Times"/>
          <w:color w:val="000000"/>
          <w:sz w:val="24"/>
          <w:szCs w:val="24"/>
        </w:rPr>
        <w:t xml:space="preserve"> economy</w:t>
      </w:r>
      <w:r w:rsidR="00AD3EB4" w:rsidRPr="00F05F6E">
        <w:rPr>
          <w:rFonts w:ascii="Times" w:hAnsi="Times"/>
          <w:color w:val="000000"/>
          <w:sz w:val="24"/>
          <w:szCs w:val="24"/>
        </w:rPr>
        <w:t>.</w:t>
      </w:r>
      <w:r w:rsidR="00B26D83" w:rsidRPr="00B26D83">
        <w:rPr>
          <w:rFonts w:ascii="Times" w:eastAsia="Batang" w:hAnsi="Times"/>
          <w:color w:val="000000"/>
          <w:sz w:val="24"/>
          <w:szCs w:val="24"/>
          <w:vertAlign w:val="superscript"/>
          <w:lang w:eastAsia="ko-KR"/>
        </w:rPr>
        <w:t>15</w:t>
      </w: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39"/>
        <w:gridCol w:w="1170"/>
        <w:gridCol w:w="1620"/>
        <w:gridCol w:w="9"/>
      </w:tblGrid>
      <w:tr w:rsidR="00D91AE8" w:rsidRPr="00215AA3">
        <w:trPr>
          <w:trHeight w:val="305"/>
          <w:jc w:val="center"/>
        </w:trPr>
        <w:tc>
          <w:tcPr>
            <w:tcW w:w="9738" w:type="dxa"/>
            <w:gridSpan w:val="4"/>
          </w:tcPr>
          <w:p w:rsidR="00D91AE8" w:rsidRPr="00290F8C" w:rsidRDefault="00D91AE8" w:rsidP="00D04617">
            <w:pPr>
              <w:spacing w:after="0"/>
              <w:jc w:val="center"/>
              <w:rPr>
                <w:rFonts w:ascii="Times" w:hAnsi="Times"/>
                <w:b/>
                <w:sz w:val="24"/>
                <w:szCs w:val="24"/>
              </w:rPr>
            </w:pPr>
            <w:r w:rsidRPr="00290F8C">
              <w:rPr>
                <w:rFonts w:ascii="Times" w:hAnsi="Times"/>
                <w:b/>
                <w:sz w:val="24"/>
                <w:szCs w:val="24"/>
              </w:rPr>
              <w:t xml:space="preserve">Table 1: Economic and Employment Impacts of Energy Efficiency </w:t>
            </w:r>
          </w:p>
        </w:tc>
      </w:tr>
      <w:tr w:rsidR="00D91AE8" w:rsidRPr="00215AA3">
        <w:trPr>
          <w:gridAfter w:val="1"/>
          <w:wAfter w:w="9" w:type="dxa"/>
          <w:jc w:val="center"/>
        </w:trPr>
        <w:tc>
          <w:tcPr>
            <w:tcW w:w="6939" w:type="dxa"/>
            <w:shd w:val="clear" w:color="auto" w:fill="B6DDE8"/>
            <w:vAlign w:val="center"/>
          </w:tcPr>
          <w:p w:rsidR="00D91AE8" w:rsidRPr="00290F8C" w:rsidRDefault="00D91AE8" w:rsidP="00D04617">
            <w:pPr>
              <w:spacing w:after="0"/>
              <w:jc w:val="center"/>
              <w:rPr>
                <w:rFonts w:ascii="Times" w:hAnsi="Times"/>
                <w:b/>
                <w:sz w:val="24"/>
                <w:szCs w:val="24"/>
              </w:rPr>
            </w:pPr>
            <w:r w:rsidRPr="00290F8C">
              <w:rPr>
                <w:rFonts w:ascii="Times" w:hAnsi="Times"/>
                <w:b/>
                <w:sz w:val="24"/>
                <w:szCs w:val="24"/>
              </w:rPr>
              <w:t>Indicator</w:t>
            </w:r>
          </w:p>
        </w:tc>
        <w:tc>
          <w:tcPr>
            <w:tcW w:w="1170" w:type="dxa"/>
            <w:shd w:val="clear" w:color="auto" w:fill="B6DDE8"/>
            <w:vAlign w:val="center"/>
          </w:tcPr>
          <w:p w:rsidR="00D91AE8" w:rsidRPr="00290F8C" w:rsidRDefault="00D91AE8" w:rsidP="00D04617">
            <w:pPr>
              <w:spacing w:after="0"/>
              <w:jc w:val="center"/>
              <w:rPr>
                <w:rFonts w:ascii="Times" w:hAnsi="Times"/>
                <w:b/>
                <w:sz w:val="24"/>
                <w:szCs w:val="24"/>
              </w:rPr>
            </w:pPr>
            <w:r w:rsidRPr="00290F8C">
              <w:rPr>
                <w:rFonts w:ascii="Times" w:hAnsi="Times"/>
                <w:b/>
                <w:sz w:val="24"/>
                <w:szCs w:val="24"/>
              </w:rPr>
              <w:t>2020</w:t>
            </w:r>
          </w:p>
        </w:tc>
        <w:tc>
          <w:tcPr>
            <w:tcW w:w="1620" w:type="dxa"/>
            <w:shd w:val="clear" w:color="auto" w:fill="B6DDE8"/>
            <w:vAlign w:val="center"/>
          </w:tcPr>
          <w:p w:rsidR="00D91AE8" w:rsidRPr="00290F8C" w:rsidRDefault="00D91AE8" w:rsidP="00D04617">
            <w:pPr>
              <w:spacing w:after="0"/>
              <w:jc w:val="center"/>
              <w:rPr>
                <w:rFonts w:ascii="Times" w:hAnsi="Times"/>
                <w:b/>
                <w:sz w:val="24"/>
                <w:szCs w:val="24"/>
              </w:rPr>
            </w:pPr>
            <w:r w:rsidRPr="00290F8C">
              <w:rPr>
                <w:rFonts w:ascii="Times" w:hAnsi="Times"/>
                <w:b/>
                <w:sz w:val="24"/>
                <w:szCs w:val="24"/>
              </w:rPr>
              <w:t>2030</w:t>
            </w:r>
          </w:p>
        </w:tc>
      </w:tr>
      <w:tr w:rsidR="00D91AE8" w:rsidRPr="00215AA3">
        <w:trPr>
          <w:gridAfter w:val="1"/>
          <w:wAfter w:w="9" w:type="dxa"/>
          <w:jc w:val="center"/>
        </w:trPr>
        <w:tc>
          <w:tcPr>
            <w:tcW w:w="6939" w:type="dxa"/>
            <w:vAlign w:val="center"/>
          </w:tcPr>
          <w:p w:rsidR="00C654E7" w:rsidRPr="00290F8C" w:rsidRDefault="00D91AE8" w:rsidP="00D04617">
            <w:pPr>
              <w:spacing w:after="0"/>
              <w:rPr>
                <w:rFonts w:ascii="Times" w:hAnsi="Times"/>
                <w:sz w:val="24"/>
                <w:szCs w:val="24"/>
              </w:rPr>
            </w:pPr>
            <w:r w:rsidRPr="00290F8C">
              <w:rPr>
                <w:rFonts w:ascii="Times" w:hAnsi="Times"/>
                <w:sz w:val="24"/>
                <w:szCs w:val="24"/>
              </w:rPr>
              <w:t>Public Sector Policy Financial Incentives (in million $2007)</w:t>
            </w:r>
          </w:p>
        </w:tc>
        <w:tc>
          <w:tcPr>
            <w:tcW w:w="1170" w:type="dxa"/>
            <w:vAlign w:val="bottom"/>
          </w:tcPr>
          <w:p w:rsidR="00C654E7" w:rsidRPr="00290F8C" w:rsidRDefault="00D91AE8" w:rsidP="00D04617">
            <w:pPr>
              <w:spacing w:before="120" w:after="0"/>
              <w:jc w:val="center"/>
              <w:rPr>
                <w:rFonts w:ascii="Times" w:hAnsi="Times"/>
                <w:sz w:val="24"/>
                <w:szCs w:val="24"/>
              </w:rPr>
            </w:pPr>
            <w:r w:rsidRPr="00290F8C">
              <w:rPr>
                <w:rFonts w:ascii="Times" w:hAnsi="Times"/>
                <w:sz w:val="24"/>
                <w:szCs w:val="24"/>
              </w:rPr>
              <w:t>528</w:t>
            </w:r>
          </w:p>
        </w:tc>
        <w:tc>
          <w:tcPr>
            <w:tcW w:w="1620" w:type="dxa"/>
            <w:vAlign w:val="bottom"/>
          </w:tcPr>
          <w:p w:rsidR="00C654E7" w:rsidRPr="00290F8C" w:rsidRDefault="00D91AE8" w:rsidP="00D04617">
            <w:pPr>
              <w:spacing w:before="120" w:after="0"/>
              <w:jc w:val="center"/>
              <w:rPr>
                <w:rFonts w:ascii="Times" w:hAnsi="Times"/>
                <w:sz w:val="24"/>
                <w:szCs w:val="24"/>
              </w:rPr>
            </w:pPr>
            <w:r w:rsidRPr="00290F8C">
              <w:rPr>
                <w:rFonts w:ascii="Times" w:hAnsi="Times"/>
                <w:sz w:val="24"/>
                <w:szCs w:val="24"/>
              </w:rPr>
              <w:t>853</w:t>
            </w:r>
          </w:p>
        </w:tc>
      </w:tr>
      <w:tr w:rsidR="00D91AE8" w:rsidRPr="00215AA3">
        <w:trPr>
          <w:gridAfter w:val="1"/>
          <w:wAfter w:w="9" w:type="dxa"/>
          <w:jc w:val="center"/>
        </w:trPr>
        <w:tc>
          <w:tcPr>
            <w:tcW w:w="6939" w:type="dxa"/>
            <w:vAlign w:val="center"/>
          </w:tcPr>
          <w:p w:rsidR="00C654E7" w:rsidRPr="00290F8C" w:rsidRDefault="00D91AE8" w:rsidP="00D04617">
            <w:pPr>
              <w:spacing w:before="120" w:after="0"/>
              <w:rPr>
                <w:rFonts w:ascii="Times" w:hAnsi="Times"/>
                <w:sz w:val="24"/>
                <w:szCs w:val="24"/>
              </w:rPr>
            </w:pPr>
            <w:r w:rsidRPr="00290F8C">
              <w:rPr>
                <w:rFonts w:ascii="Times" w:hAnsi="Times"/>
                <w:sz w:val="24"/>
                <w:szCs w:val="24"/>
              </w:rPr>
              <w:t>Private Sector/Household Productive Investment (in million $2007)</w:t>
            </w:r>
          </w:p>
        </w:tc>
        <w:tc>
          <w:tcPr>
            <w:tcW w:w="1170" w:type="dxa"/>
            <w:vAlign w:val="bottom"/>
          </w:tcPr>
          <w:p w:rsidR="00C654E7" w:rsidRPr="00290F8C" w:rsidRDefault="00D91AE8" w:rsidP="00D04617">
            <w:pPr>
              <w:spacing w:before="120" w:after="0"/>
              <w:jc w:val="center"/>
              <w:rPr>
                <w:rFonts w:ascii="Times" w:hAnsi="Times"/>
                <w:sz w:val="24"/>
                <w:szCs w:val="24"/>
              </w:rPr>
            </w:pPr>
            <w:r w:rsidRPr="00290F8C">
              <w:rPr>
                <w:rFonts w:ascii="Times" w:hAnsi="Times"/>
                <w:sz w:val="24"/>
                <w:szCs w:val="24"/>
              </w:rPr>
              <w:t>440</w:t>
            </w:r>
          </w:p>
        </w:tc>
        <w:tc>
          <w:tcPr>
            <w:tcW w:w="1620" w:type="dxa"/>
            <w:vAlign w:val="bottom"/>
          </w:tcPr>
          <w:p w:rsidR="00C654E7" w:rsidRPr="00290F8C" w:rsidRDefault="00D91AE8" w:rsidP="00D04617">
            <w:pPr>
              <w:spacing w:before="120" w:after="0"/>
              <w:jc w:val="center"/>
              <w:rPr>
                <w:rFonts w:ascii="Times" w:hAnsi="Times"/>
                <w:sz w:val="24"/>
                <w:szCs w:val="24"/>
              </w:rPr>
            </w:pPr>
            <w:r w:rsidRPr="00290F8C">
              <w:rPr>
                <w:rFonts w:ascii="Times" w:hAnsi="Times"/>
                <w:sz w:val="24"/>
                <w:szCs w:val="24"/>
              </w:rPr>
              <w:t>480</w:t>
            </w:r>
          </w:p>
        </w:tc>
      </w:tr>
      <w:tr w:rsidR="00D91AE8" w:rsidRPr="00215AA3">
        <w:trPr>
          <w:gridAfter w:val="1"/>
          <w:wAfter w:w="9" w:type="dxa"/>
          <w:jc w:val="center"/>
        </w:trPr>
        <w:tc>
          <w:tcPr>
            <w:tcW w:w="6939" w:type="dxa"/>
            <w:vAlign w:val="center"/>
          </w:tcPr>
          <w:p w:rsidR="00C654E7" w:rsidRPr="00290F8C" w:rsidRDefault="00D91AE8" w:rsidP="00D04617">
            <w:pPr>
              <w:spacing w:before="120" w:after="0"/>
              <w:rPr>
                <w:rFonts w:ascii="Times" w:hAnsi="Times"/>
                <w:sz w:val="24"/>
                <w:szCs w:val="24"/>
              </w:rPr>
            </w:pPr>
            <w:r w:rsidRPr="00290F8C">
              <w:rPr>
                <w:rFonts w:ascii="Times" w:hAnsi="Times"/>
                <w:sz w:val="24"/>
                <w:szCs w:val="24"/>
              </w:rPr>
              <w:t>Change in Electricity Costs (in million $2007)</w:t>
            </w:r>
          </w:p>
        </w:tc>
        <w:tc>
          <w:tcPr>
            <w:tcW w:w="1170" w:type="dxa"/>
            <w:vAlign w:val="bottom"/>
          </w:tcPr>
          <w:p w:rsidR="00C654E7" w:rsidRPr="00290F8C" w:rsidRDefault="00D91AE8" w:rsidP="00D04617">
            <w:pPr>
              <w:spacing w:before="120" w:after="0"/>
              <w:jc w:val="center"/>
              <w:rPr>
                <w:rFonts w:ascii="Times" w:hAnsi="Times"/>
                <w:sz w:val="24"/>
                <w:szCs w:val="24"/>
              </w:rPr>
            </w:pPr>
            <w:r w:rsidRPr="00290F8C">
              <w:rPr>
                <w:rFonts w:ascii="Times" w:hAnsi="Times"/>
                <w:sz w:val="24"/>
                <w:szCs w:val="24"/>
              </w:rPr>
              <w:t>-1,134</w:t>
            </w:r>
          </w:p>
        </w:tc>
        <w:tc>
          <w:tcPr>
            <w:tcW w:w="1620" w:type="dxa"/>
            <w:vAlign w:val="bottom"/>
          </w:tcPr>
          <w:p w:rsidR="00C654E7" w:rsidRPr="00290F8C" w:rsidRDefault="00D91AE8" w:rsidP="00D04617">
            <w:pPr>
              <w:spacing w:before="120" w:after="0"/>
              <w:jc w:val="center"/>
              <w:rPr>
                <w:rFonts w:ascii="Times" w:hAnsi="Times"/>
                <w:sz w:val="24"/>
                <w:szCs w:val="24"/>
              </w:rPr>
            </w:pPr>
            <w:r w:rsidRPr="00290F8C">
              <w:rPr>
                <w:rFonts w:ascii="Times" w:hAnsi="Times"/>
                <w:sz w:val="24"/>
                <w:szCs w:val="24"/>
              </w:rPr>
              <w:t>-2,228</w:t>
            </w:r>
          </w:p>
        </w:tc>
      </w:tr>
      <w:tr w:rsidR="00D91AE8" w:rsidRPr="00215AA3">
        <w:trPr>
          <w:gridAfter w:val="1"/>
          <w:wAfter w:w="9" w:type="dxa"/>
          <w:jc w:val="center"/>
        </w:trPr>
        <w:tc>
          <w:tcPr>
            <w:tcW w:w="6939" w:type="dxa"/>
            <w:vAlign w:val="center"/>
          </w:tcPr>
          <w:p w:rsidR="00C654E7" w:rsidRPr="00290F8C" w:rsidRDefault="00D91AE8" w:rsidP="00D04617">
            <w:pPr>
              <w:spacing w:before="120" w:after="0"/>
              <w:rPr>
                <w:rFonts w:ascii="Times" w:hAnsi="Times"/>
                <w:b/>
                <w:sz w:val="24"/>
                <w:szCs w:val="24"/>
              </w:rPr>
            </w:pPr>
            <w:r w:rsidRPr="00290F8C">
              <w:rPr>
                <w:rFonts w:ascii="Times" w:hAnsi="Times"/>
                <w:sz w:val="24"/>
                <w:szCs w:val="24"/>
              </w:rPr>
              <w:t>Change in Natural Gas Costs (in million $2007)</w:t>
            </w:r>
          </w:p>
        </w:tc>
        <w:tc>
          <w:tcPr>
            <w:tcW w:w="1170" w:type="dxa"/>
            <w:vAlign w:val="bottom"/>
          </w:tcPr>
          <w:p w:rsidR="00C654E7" w:rsidRPr="00290F8C" w:rsidRDefault="00D91AE8" w:rsidP="00D04617">
            <w:pPr>
              <w:spacing w:before="120" w:after="0"/>
              <w:jc w:val="center"/>
              <w:rPr>
                <w:rFonts w:ascii="Times" w:hAnsi="Times"/>
                <w:sz w:val="24"/>
                <w:szCs w:val="24"/>
              </w:rPr>
            </w:pPr>
            <w:r w:rsidRPr="00290F8C">
              <w:rPr>
                <w:rFonts w:ascii="Times" w:hAnsi="Times"/>
                <w:sz w:val="24"/>
                <w:szCs w:val="24"/>
              </w:rPr>
              <w:t>-$404</w:t>
            </w:r>
          </w:p>
        </w:tc>
        <w:tc>
          <w:tcPr>
            <w:tcW w:w="1620" w:type="dxa"/>
            <w:vAlign w:val="bottom"/>
          </w:tcPr>
          <w:p w:rsidR="00C654E7" w:rsidRPr="00290F8C" w:rsidRDefault="00D91AE8" w:rsidP="00D04617">
            <w:pPr>
              <w:spacing w:before="120" w:after="0"/>
              <w:jc w:val="center"/>
              <w:rPr>
                <w:rFonts w:ascii="Times" w:hAnsi="Times"/>
                <w:sz w:val="24"/>
                <w:szCs w:val="24"/>
              </w:rPr>
            </w:pPr>
            <w:r w:rsidRPr="00290F8C">
              <w:rPr>
                <w:rFonts w:ascii="Times" w:hAnsi="Times"/>
                <w:sz w:val="24"/>
                <w:szCs w:val="24"/>
              </w:rPr>
              <w:t>-$751</w:t>
            </w:r>
          </w:p>
        </w:tc>
      </w:tr>
      <w:tr w:rsidR="00D91AE8" w:rsidRPr="00215AA3">
        <w:trPr>
          <w:gridAfter w:val="1"/>
          <w:wAfter w:w="9" w:type="dxa"/>
          <w:jc w:val="center"/>
        </w:trPr>
        <w:tc>
          <w:tcPr>
            <w:tcW w:w="6939" w:type="dxa"/>
            <w:vAlign w:val="center"/>
          </w:tcPr>
          <w:p w:rsidR="00C654E7" w:rsidRPr="00290F8C" w:rsidRDefault="00D91AE8" w:rsidP="00D04617">
            <w:pPr>
              <w:spacing w:before="120" w:after="0"/>
              <w:rPr>
                <w:rFonts w:ascii="Times" w:hAnsi="Times"/>
                <w:sz w:val="24"/>
                <w:szCs w:val="24"/>
              </w:rPr>
            </w:pPr>
            <w:r w:rsidRPr="00290F8C">
              <w:rPr>
                <w:rFonts w:ascii="Times" w:hAnsi="Times"/>
                <w:sz w:val="24"/>
                <w:szCs w:val="24"/>
              </w:rPr>
              <w:t>Annual Increased Employment (ACEEE Calculator)</w:t>
            </w:r>
          </w:p>
        </w:tc>
        <w:tc>
          <w:tcPr>
            <w:tcW w:w="1170" w:type="dxa"/>
            <w:vAlign w:val="bottom"/>
          </w:tcPr>
          <w:p w:rsidR="00C654E7" w:rsidRPr="00290F8C" w:rsidRDefault="00D91AE8" w:rsidP="00D04617">
            <w:pPr>
              <w:spacing w:before="120" w:after="0"/>
              <w:jc w:val="center"/>
              <w:rPr>
                <w:rFonts w:ascii="Times" w:hAnsi="Times"/>
                <w:sz w:val="24"/>
                <w:szCs w:val="24"/>
              </w:rPr>
            </w:pPr>
            <w:r w:rsidRPr="00290F8C">
              <w:rPr>
                <w:rFonts w:ascii="Times" w:hAnsi="Times"/>
                <w:sz w:val="24"/>
                <w:szCs w:val="24"/>
              </w:rPr>
              <w:t>15,600</w:t>
            </w:r>
          </w:p>
        </w:tc>
        <w:tc>
          <w:tcPr>
            <w:tcW w:w="1620" w:type="dxa"/>
            <w:vAlign w:val="bottom"/>
          </w:tcPr>
          <w:p w:rsidR="00C654E7" w:rsidRPr="00290F8C" w:rsidRDefault="00D91AE8" w:rsidP="00D04617">
            <w:pPr>
              <w:spacing w:before="120" w:after="0"/>
              <w:jc w:val="center"/>
              <w:rPr>
                <w:rFonts w:ascii="Times" w:hAnsi="Times"/>
                <w:sz w:val="24"/>
                <w:szCs w:val="24"/>
              </w:rPr>
            </w:pPr>
            <w:r w:rsidRPr="00290F8C">
              <w:rPr>
                <w:rFonts w:ascii="Times" w:hAnsi="Times"/>
                <w:sz w:val="24"/>
                <w:szCs w:val="24"/>
              </w:rPr>
              <w:t>21,500</w:t>
            </w:r>
          </w:p>
        </w:tc>
      </w:tr>
      <w:tr w:rsidR="00D91AE8" w:rsidRPr="00215AA3">
        <w:trPr>
          <w:gridAfter w:val="1"/>
          <w:wAfter w:w="9" w:type="dxa"/>
          <w:jc w:val="center"/>
        </w:trPr>
        <w:tc>
          <w:tcPr>
            <w:tcW w:w="6939" w:type="dxa"/>
            <w:vAlign w:val="center"/>
          </w:tcPr>
          <w:p w:rsidR="00C654E7" w:rsidRPr="00290F8C" w:rsidRDefault="00D91AE8" w:rsidP="00D04617">
            <w:pPr>
              <w:spacing w:before="120" w:after="0"/>
              <w:rPr>
                <w:rFonts w:ascii="Times" w:hAnsi="Times"/>
                <w:sz w:val="24"/>
                <w:szCs w:val="24"/>
              </w:rPr>
            </w:pPr>
            <w:r w:rsidRPr="00290F8C">
              <w:rPr>
                <w:rFonts w:ascii="Times" w:hAnsi="Times"/>
                <w:sz w:val="24"/>
                <w:szCs w:val="24"/>
              </w:rPr>
              <w:t>Change in Gross State Product (in million $2007)</w:t>
            </w:r>
          </w:p>
        </w:tc>
        <w:tc>
          <w:tcPr>
            <w:tcW w:w="1170" w:type="dxa"/>
            <w:vAlign w:val="bottom"/>
          </w:tcPr>
          <w:p w:rsidR="00C654E7" w:rsidRPr="00290F8C" w:rsidRDefault="00D91AE8" w:rsidP="00D04617">
            <w:pPr>
              <w:spacing w:before="120" w:after="0"/>
              <w:jc w:val="center"/>
              <w:rPr>
                <w:rFonts w:ascii="Times" w:hAnsi="Times"/>
                <w:sz w:val="24"/>
                <w:szCs w:val="24"/>
              </w:rPr>
            </w:pPr>
            <w:r w:rsidRPr="00290F8C">
              <w:rPr>
                <w:rFonts w:ascii="Times" w:hAnsi="Times"/>
                <w:sz w:val="24"/>
                <w:szCs w:val="24"/>
              </w:rPr>
              <w:t>229</w:t>
            </w:r>
          </w:p>
        </w:tc>
        <w:tc>
          <w:tcPr>
            <w:tcW w:w="1620" w:type="dxa"/>
            <w:vAlign w:val="bottom"/>
          </w:tcPr>
          <w:p w:rsidR="00C654E7" w:rsidRPr="00290F8C" w:rsidRDefault="00D91AE8" w:rsidP="00D04617">
            <w:pPr>
              <w:spacing w:before="120" w:after="0"/>
              <w:jc w:val="center"/>
              <w:rPr>
                <w:rFonts w:ascii="Times" w:hAnsi="Times"/>
                <w:sz w:val="24"/>
                <w:szCs w:val="24"/>
              </w:rPr>
            </w:pPr>
            <w:r w:rsidRPr="00290F8C">
              <w:rPr>
                <w:rFonts w:ascii="Times" w:hAnsi="Times"/>
                <w:sz w:val="24"/>
                <w:szCs w:val="24"/>
              </w:rPr>
              <w:t>479</w:t>
            </w:r>
          </w:p>
        </w:tc>
      </w:tr>
    </w:tbl>
    <w:p w:rsidR="00AD3EB4" w:rsidRDefault="00AD3EB4" w:rsidP="007A098F">
      <w:pPr>
        <w:spacing w:after="0"/>
        <w:rPr>
          <w:rFonts w:ascii="Times" w:hAnsi="Times"/>
          <w:b/>
          <w:sz w:val="24"/>
          <w:szCs w:val="24"/>
        </w:rPr>
      </w:pPr>
    </w:p>
    <w:p w:rsidR="007A098F" w:rsidRPr="00B43F02" w:rsidRDefault="007A098F" w:rsidP="007A098F">
      <w:pPr>
        <w:spacing w:after="0"/>
        <w:rPr>
          <w:rFonts w:ascii="Times" w:hAnsi="Times"/>
          <w:b/>
          <w:sz w:val="24"/>
          <w:szCs w:val="24"/>
        </w:rPr>
      </w:pPr>
      <w:r w:rsidRPr="00B43F02">
        <w:rPr>
          <w:rFonts w:ascii="Times" w:hAnsi="Times"/>
          <w:b/>
          <w:sz w:val="24"/>
          <w:szCs w:val="24"/>
        </w:rPr>
        <w:t>Conclusions</w:t>
      </w:r>
    </w:p>
    <w:p w:rsidR="00AD3EB4" w:rsidRPr="00CA390D" w:rsidRDefault="00AD3EB4" w:rsidP="00AD3EB4">
      <w:pPr>
        <w:autoSpaceDE w:val="0"/>
        <w:autoSpaceDN w:val="0"/>
        <w:adjustRightInd w:val="0"/>
        <w:spacing w:after="0"/>
        <w:rPr>
          <w:rFonts w:ascii="Times New Roman" w:hAnsi="Times New Roman"/>
          <w:color w:val="000000"/>
          <w:sz w:val="24"/>
          <w:szCs w:val="24"/>
        </w:rPr>
      </w:pPr>
      <w:r w:rsidRPr="00CA390D">
        <w:rPr>
          <w:rFonts w:ascii="Times New Roman" w:hAnsi="Times New Roman"/>
          <w:color w:val="000000"/>
          <w:sz w:val="24"/>
          <w:szCs w:val="24"/>
        </w:rPr>
        <w:t xml:space="preserve">The energy efficiency policies described in this profile could set </w:t>
      </w:r>
      <w:r>
        <w:rPr>
          <w:rFonts w:ascii="Times New Roman" w:hAnsi="Times New Roman"/>
          <w:color w:val="000000"/>
          <w:sz w:val="24"/>
          <w:szCs w:val="24"/>
        </w:rPr>
        <w:t>Tennessee</w:t>
      </w:r>
      <w:r w:rsidRPr="00CA390D">
        <w:rPr>
          <w:rFonts w:ascii="Times New Roman" w:hAnsi="Times New Roman"/>
          <w:color w:val="000000"/>
          <w:sz w:val="24"/>
          <w:szCs w:val="24"/>
        </w:rPr>
        <w:t xml:space="preserve"> on a course toward a </w:t>
      </w:r>
      <w:r>
        <w:rPr>
          <w:rFonts w:ascii="Times New Roman" w:hAnsi="Times New Roman"/>
          <w:color w:val="000000"/>
          <w:sz w:val="24"/>
          <w:szCs w:val="24"/>
        </w:rPr>
        <w:t xml:space="preserve">more </w:t>
      </w:r>
      <w:r w:rsidRPr="00CA390D">
        <w:rPr>
          <w:rFonts w:ascii="Times New Roman" w:hAnsi="Times New Roman"/>
          <w:color w:val="000000"/>
          <w:sz w:val="24"/>
          <w:szCs w:val="24"/>
        </w:rPr>
        <w:t xml:space="preserve">sustainable and prosperous energy future.  If utilized effectively, the State’s substantial energy-efficiency resources could reverse the long-term trend of ever-expanding energy consumption. With a </w:t>
      </w:r>
      <w:r>
        <w:rPr>
          <w:rFonts w:ascii="Times New Roman" w:hAnsi="Times New Roman"/>
          <w:color w:val="000000"/>
          <w:sz w:val="24"/>
          <w:szCs w:val="24"/>
        </w:rPr>
        <w:t>sustained and concerted</w:t>
      </w:r>
      <w:r w:rsidRPr="00CA390D">
        <w:rPr>
          <w:rFonts w:ascii="Times New Roman" w:hAnsi="Times New Roman"/>
          <w:color w:val="000000"/>
          <w:sz w:val="24"/>
          <w:szCs w:val="24"/>
        </w:rPr>
        <w:t xml:space="preserve"> effort to use energy more wisely, </w:t>
      </w:r>
      <w:r>
        <w:rPr>
          <w:rFonts w:ascii="Times New Roman" w:hAnsi="Times New Roman"/>
          <w:color w:val="000000"/>
          <w:sz w:val="24"/>
          <w:szCs w:val="24"/>
        </w:rPr>
        <w:t>Tennessee</w:t>
      </w:r>
      <w:r w:rsidRPr="00CA390D">
        <w:rPr>
          <w:rFonts w:ascii="Times New Roman" w:hAnsi="Times New Roman"/>
          <w:color w:val="000000"/>
          <w:sz w:val="24"/>
          <w:szCs w:val="24"/>
        </w:rPr>
        <w:t xml:space="preserve"> could grow its economy, </w:t>
      </w:r>
      <w:r>
        <w:rPr>
          <w:rFonts w:ascii="Times New Roman" w:hAnsi="Times New Roman"/>
          <w:color w:val="000000"/>
          <w:sz w:val="24"/>
          <w:szCs w:val="24"/>
        </w:rPr>
        <w:t xml:space="preserve">created new </w:t>
      </w:r>
      <w:r w:rsidRPr="00CA390D">
        <w:rPr>
          <w:rFonts w:ascii="Times New Roman" w:hAnsi="Times New Roman"/>
          <w:color w:val="000000"/>
          <w:sz w:val="24"/>
          <w:szCs w:val="24"/>
        </w:rPr>
        <w:t>job</w:t>
      </w:r>
      <w:r>
        <w:rPr>
          <w:rFonts w:ascii="Times New Roman" w:hAnsi="Times New Roman"/>
          <w:color w:val="000000"/>
          <w:sz w:val="24"/>
          <w:szCs w:val="24"/>
        </w:rPr>
        <w:t xml:space="preserve"> opportunities, and reduce its environmental footprints</w:t>
      </w:r>
      <w:r w:rsidRPr="00CA390D">
        <w:rPr>
          <w:rFonts w:ascii="Times New Roman" w:hAnsi="Times New Roman"/>
          <w:color w:val="000000"/>
          <w:sz w:val="24"/>
          <w:szCs w:val="24"/>
        </w:rPr>
        <w:t>.</w:t>
      </w:r>
    </w:p>
    <w:p w:rsidR="00AD3EB4" w:rsidRPr="00CA390D" w:rsidRDefault="00AD3EB4" w:rsidP="00AD3EB4">
      <w:pPr>
        <w:spacing w:after="0"/>
        <w:rPr>
          <w:rFonts w:ascii="Times" w:hAnsi="Times"/>
          <w:color w:val="000000"/>
          <w:sz w:val="24"/>
          <w:szCs w:val="24"/>
        </w:rPr>
      </w:pPr>
    </w:p>
    <w:p w:rsidR="00AD3EB4" w:rsidRPr="00CA390D" w:rsidRDefault="00AD3EB4" w:rsidP="00AD3EB4">
      <w:pPr>
        <w:rPr>
          <w:rFonts w:ascii="Times" w:hAnsi="Times"/>
          <w:color w:val="000000"/>
          <w:sz w:val="24"/>
          <w:szCs w:val="24"/>
        </w:rPr>
      </w:pPr>
      <w:r w:rsidRPr="00CA390D">
        <w:rPr>
          <w:rFonts w:ascii="Times" w:hAnsi="Times"/>
          <w:color w:val="000000"/>
          <w:sz w:val="24"/>
          <w:szCs w:val="24"/>
        </w:rPr>
        <w:t xml:space="preserve">For more information on the methodology used to derive this state profile, please see </w:t>
      </w:r>
      <w:r w:rsidRPr="00CA390D">
        <w:rPr>
          <w:rFonts w:ascii="Times" w:hAnsi="Times"/>
          <w:i/>
          <w:color w:val="000000"/>
          <w:sz w:val="24"/>
          <w:szCs w:val="24"/>
        </w:rPr>
        <w:t>Energy Efficiency in the South</w:t>
      </w:r>
      <w:r w:rsidRPr="00CA390D">
        <w:rPr>
          <w:rFonts w:ascii="Times" w:hAnsi="Times"/>
          <w:color w:val="000000"/>
          <w:sz w:val="24"/>
          <w:szCs w:val="24"/>
        </w:rPr>
        <w:t>.</w:t>
      </w:r>
      <w:r w:rsidRPr="00D01D41">
        <w:rPr>
          <w:rFonts w:ascii="Times New Roman" w:hAnsi="Times New Roman"/>
          <w:color w:val="000000" w:themeColor="text1"/>
          <w:sz w:val="24"/>
          <w:szCs w:val="23"/>
          <w:vertAlign w:val="superscript"/>
        </w:rPr>
        <w:t xml:space="preserve"> </w:t>
      </w:r>
      <w:r w:rsidRPr="00FC2EE0">
        <w:rPr>
          <w:rFonts w:ascii="Times New Roman" w:hAnsi="Times New Roman"/>
          <w:color w:val="000000" w:themeColor="text1"/>
          <w:sz w:val="24"/>
          <w:szCs w:val="23"/>
          <w:vertAlign w:val="superscript"/>
        </w:rPr>
        <w:t>1</w:t>
      </w:r>
    </w:p>
    <w:p w:rsidR="007A098F" w:rsidRPr="00B43F02" w:rsidRDefault="007A098F" w:rsidP="007A098F">
      <w:pPr>
        <w:spacing w:after="0" w:line="240" w:lineRule="auto"/>
        <w:rPr>
          <w:rFonts w:ascii="Times New Roman" w:hAnsi="Times New Roman"/>
          <w:b/>
          <w:sz w:val="24"/>
          <w:szCs w:val="24"/>
        </w:rPr>
      </w:pPr>
      <w:r w:rsidRPr="00B43F02">
        <w:rPr>
          <w:rFonts w:ascii="Times New Roman" w:hAnsi="Times New Roman"/>
          <w:b/>
          <w:sz w:val="24"/>
          <w:szCs w:val="24"/>
        </w:rPr>
        <w:t>Acknowledgements</w:t>
      </w:r>
    </w:p>
    <w:p w:rsidR="007A098F" w:rsidRDefault="007A098F" w:rsidP="007A098F">
      <w:pPr>
        <w:rPr>
          <w:rFonts w:ascii="Times New Roman" w:hAnsi="Times New Roman" w:cs="Arial"/>
          <w:sz w:val="24"/>
        </w:rPr>
      </w:pPr>
      <w:r w:rsidRPr="00B43F02">
        <w:rPr>
          <w:rFonts w:ascii="Times New Roman" w:hAnsi="Times New Roman" w:cs="Arial"/>
          <w:sz w:val="24"/>
        </w:rPr>
        <w:t>This study project is funded with support from the Energy Foundation (</w:t>
      </w:r>
      <w:hyperlink r:id="rId20" w:history="1">
        <w:r w:rsidRPr="00B43F02">
          <w:rPr>
            <w:rStyle w:val="Hyperlink"/>
            <w:rFonts w:ascii="Times New Roman" w:hAnsi="Times New Roman" w:cs="Arial"/>
            <w:sz w:val="24"/>
          </w:rPr>
          <w:t>www.ef.org</w:t>
        </w:r>
      </w:hyperlink>
      <w:r w:rsidRPr="00B43F02">
        <w:rPr>
          <w:rFonts w:ascii="Times New Roman" w:hAnsi="Times New Roman" w:cs="Arial"/>
          <w:sz w:val="24"/>
        </w:rPr>
        <w:t>), the Kresge Foundation (</w:t>
      </w:r>
      <w:hyperlink r:id="rId21" w:history="1">
        <w:r w:rsidRPr="00B43F02">
          <w:rPr>
            <w:rStyle w:val="Hyperlink"/>
            <w:rFonts w:ascii="Times New Roman" w:hAnsi="Times New Roman" w:cs="Arial"/>
            <w:sz w:val="24"/>
          </w:rPr>
          <w:t>www.kresge.org</w:t>
        </w:r>
      </w:hyperlink>
      <w:r w:rsidRPr="00B43F02">
        <w:rPr>
          <w:rFonts w:ascii="Times New Roman" w:hAnsi="Times New Roman" w:cs="Arial"/>
          <w:sz w:val="24"/>
        </w:rPr>
        <w:t>) and the Turner Foundation (</w:t>
      </w:r>
      <w:hyperlink r:id="rId22" w:history="1">
        <w:r w:rsidRPr="00B43F02">
          <w:rPr>
            <w:rStyle w:val="Hyperlink"/>
            <w:rFonts w:ascii="Times New Roman" w:hAnsi="Times New Roman" w:cs="Arial"/>
            <w:sz w:val="24"/>
          </w:rPr>
          <w:t>www.turnerfoundation.org</w:t>
        </w:r>
      </w:hyperlink>
      <w:r w:rsidRPr="00B43F02">
        <w:rPr>
          <w:rFonts w:ascii="Times New Roman" w:hAnsi="Times New Roman" w:cs="Arial"/>
          <w:sz w:val="24"/>
        </w:rPr>
        <w:t>). The support of these three foundations is greatly appreciated.</w:t>
      </w:r>
    </w:p>
    <w:p w:rsidR="006E1FF9" w:rsidRDefault="006E1FF9" w:rsidP="00E36C2F">
      <w:pPr>
        <w:spacing w:after="0" w:line="240" w:lineRule="auto"/>
        <w:rPr>
          <w:rFonts w:ascii="Times New Roman" w:hAnsi="Times New Roman"/>
          <w:b/>
          <w:sz w:val="24"/>
          <w:szCs w:val="24"/>
        </w:rPr>
      </w:pPr>
    </w:p>
    <w:p w:rsidR="00E36C2F" w:rsidRPr="00B43F02" w:rsidRDefault="00E36C2F" w:rsidP="00E36C2F">
      <w:pPr>
        <w:spacing w:after="0" w:line="240" w:lineRule="auto"/>
        <w:rPr>
          <w:rFonts w:ascii="Times New Roman" w:hAnsi="Times New Roman"/>
          <w:b/>
          <w:sz w:val="24"/>
          <w:szCs w:val="24"/>
        </w:rPr>
      </w:pPr>
      <w:r w:rsidRPr="00B43F02">
        <w:rPr>
          <w:rFonts w:ascii="Times New Roman" w:hAnsi="Times New Roman"/>
          <w:b/>
          <w:sz w:val="24"/>
          <w:szCs w:val="24"/>
        </w:rPr>
        <w:t>Footnotes and References</w:t>
      </w:r>
    </w:p>
    <w:p w:rsidR="00E36C2F" w:rsidRPr="00B43F02" w:rsidRDefault="00E36C2F" w:rsidP="00E36C2F">
      <w:pPr>
        <w:pStyle w:val="ListParagraph"/>
        <w:numPr>
          <w:ilvl w:val="0"/>
          <w:numId w:val="2"/>
        </w:numPr>
        <w:spacing w:line="240" w:lineRule="auto"/>
        <w:rPr>
          <w:rFonts w:ascii="Times" w:hAnsi="Times"/>
        </w:rPr>
      </w:pPr>
      <w:r w:rsidRPr="00B43F02">
        <w:rPr>
          <w:rFonts w:ascii="Times" w:hAnsi="Times"/>
        </w:rPr>
        <w:t xml:space="preserve">Marilyn A. Brown, Etan Gumerman, Xiaojing Sun, Youngsun Baek, Joy Wang, Rodrigo Cortes, and Diran Soumonni. (2010). </w:t>
      </w:r>
      <w:r w:rsidRPr="00857793">
        <w:rPr>
          <w:rFonts w:ascii="Times" w:hAnsi="Times"/>
          <w:i/>
        </w:rPr>
        <w:t>Energy Efficiency in the South</w:t>
      </w:r>
      <w:r w:rsidR="00857793">
        <w:rPr>
          <w:rFonts w:ascii="Times" w:hAnsi="Times"/>
        </w:rPr>
        <w:t xml:space="preserve">, </w:t>
      </w:r>
      <w:r w:rsidR="00857793" w:rsidRPr="00AB436F">
        <w:rPr>
          <w:rFonts w:ascii="Times" w:hAnsi="Times"/>
          <w:color w:val="000000"/>
        </w:rPr>
        <w:t>http://www.seealliance.org/</w:t>
      </w:r>
      <w:r w:rsidR="00857793">
        <w:rPr>
          <w:rFonts w:ascii="Times" w:hAnsi="Times"/>
          <w:color w:val="000000"/>
        </w:rPr>
        <w:t>.</w:t>
      </w:r>
    </w:p>
    <w:p w:rsidR="009249FB" w:rsidRPr="00B43F02" w:rsidRDefault="00E36C2F" w:rsidP="00E36C2F">
      <w:pPr>
        <w:pStyle w:val="ListParagraph"/>
        <w:numPr>
          <w:ilvl w:val="0"/>
          <w:numId w:val="2"/>
        </w:numPr>
        <w:spacing w:after="0" w:line="240" w:lineRule="auto"/>
        <w:rPr>
          <w:rFonts w:ascii="Times" w:hAnsi="Times"/>
        </w:rPr>
      </w:pPr>
      <w:r w:rsidRPr="00B43F02">
        <w:rPr>
          <w:rFonts w:ascii="Times" w:hAnsi="Times"/>
        </w:rPr>
        <w:t xml:space="preserve">Census Bureau (2009). Retrieved from:  </w:t>
      </w:r>
      <w:r w:rsidRPr="00744684">
        <w:rPr>
          <w:rFonts w:ascii="Times" w:hAnsi="Times"/>
        </w:rPr>
        <w:t>http://www.census.gov</w:t>
      </w:r>
    </w:p>
    <w:p w:rsidR="00E36C2F" w:rsidRPr="00B43F02" w:rsidRDefault="00E36C2F" w:rsidP="00E36C2F">
      <w:pPr>
        <w:pStyle w:val="ListParagraph"/>
        <w:numPr>
          <w:ilvl w:val="0"/>
          <w:numId w:val="2"/>
        </w:numPr>
        <w:spacing w:after="0" w:line="240" w:lineRule="auto"/>
        <w:rPr>
          <w:rFonts w:ascii="Times" w:hAnsi="Times"/>
        </w:rPr>
      </w:pPr>
      <w:r w:rsidRPr="00B43F02">
        <w:rPr>
          <w:rFonts w:ascii="Times" w:hAnsi="Times"/>
        </w:rPr>
        <w:t xml:space="preserve">Energy Information Administration. (2009). State Energy Data System. Retrieved from: </w:t>
      </w:r>
      <w:r w:rsidRPr="00744684">
        <w:rPr>
          <w:rFonts w:ascii="Times" w:hAnsi="Times"/>
        </w:rPr>
        <w:t>http://www.eia.doe.gov/emeu/states/_seds.html</w:t>
      </w:r>
    </w:p>
    <w:p w:rsidR="00E36C2F" w:rsidRPr="00B43F02" w:rsidRDefault="00E36C2F" w:rsidP="00E36C2F">
      <w:pPr>
        <w:pStyle w:val="ListParagraph"/>
        <w:numPr>
          <w:ilvl w:val="0"/>
          <w:numId w:val="2"/>
        </w:numPr>
        <w:spacing w:after="0" w:line="240" w:lineRule="auto"/>
        <w:rPr>
          <w:rFonts w:ascii="Times" w:hAnsi="Times"/>
        </w:rPr>
      </w:pPr>
      <w:r w:rsidRPr="00B43F02">
        <w:rPr>
          <w:rFonts w:ascii="Times" w:hAnsi="Times"/>
        </w:rPr>
        <w:t>Southern States Energy Board. (2009). Digest of Climate Change and Energy Initiatives in the South</w:t>
      </w:r>
    </w:p>
    <w:p w:rsidR="00E36C2F" w:rsidRPr="00B43F02" w:rsidRDefault="00E36C2F" w:rsidP="00E36C2F">
      <w:pPr>
        <w:pStyle w:val="ListParagraph"/>
        <w:numPr>
          <w:ilvl w:val="0"/>
          <w:numId w:val="2"/>
        </w:numPr>
        <w:spacing w:after="0" w:line="240" w:lineRule="auto"/>
        <w:rPr>
          <w:rFonts w:ascii="Times" w:hAnsi="Times"/>
        </w:rPr>
      </w:pPr>
      <w:r w:rsidRPr="00B43F02">
        <w:rPr>
          <w:rFonts w:ascii="Times" w:hAnsi="Times"/>
        </w:rPr>
        <w:t>National Association of State Energy Officials (2009). State Energy Program and Activity Update</w:t>
      </w:r>
    </w:p>
    <w:p w:rsidR="00E36C2F" w:rsidRPr="00B43F02" w:rsidRDefault="00E36C2F" w:rsidP="00E36C2F">
      <w:pPr>
        <w:pStyle w:val="ListParagraph"/>
        <w:numPr>
          <w:ilvl w:val="0"/>
          <w:numId w:val="2"/>
        </w:numPr>
        <w:spacing w:after="0" w:line="240" w:lineRule="auto"/>
        <w:rPr>
          <w:rFonts w:ascii="Times" w:hAnsi="Times"/>
        </w:rPr>
      </w:pPr>
      <w:r w:rsidRPr="00B43F02">
        <w:rPr>
          <w:rFonts w:ascii="Times" w:hAnsi="Times"/>
        </w:rPr>
        <w:t>American Council for an Energy-Efficien</w:t>
      </w:r>
      <w:r w:rsidR="001D2CD1">
        <w:rPr>
          <w:rFonts w:ascii="Times" w:hAnsi="Times"/>
        </w:rPr>
        <w:t>t</w:t>
      </w:r>
      <w:r w:rsidRPr="00B43F02">
        <w:rPr>
          <w:rFonts w:ascii="Times" w:hAnsi="Times"/>
        </w:rPr>
        <w:t xml:space="preserve"> Economy. (2009). The 2009 State Energy Efficiency Scorecard. Retrieved from </w:t>
      </w:r>
      <w:r w:rsidRPr="00744684">
        <w:rPr>
          <w:rFonts w:ascii="Times" w:hAnsi="Times"/>
        </w:rPr>
        <w:t>http://aceee.org</w:t>
      </w:r>
    </w:p>
    <w:p w:rsidR="00E36C2F" w:rsidRPr="00B43F02" w:rsidRDefault="00E36C2F" w:rsidP="00E36C2F">
      <w:pPr>
        <w:pStyle w:val="ListParagraph"/>
        <w:numPr>
          <w:ilvl w:val="0"/>
          <w:numId w:val="2"/>
        </w:numPr>
        <w:spacing w:after="0" w:line="240" w:lineRule="auto"/>
        <w:rPr>
          <w:rFonts w:ascii="Times" w:hAnsi="Times"/>
        </w:rPr>
      </w:pPr>
      <w:r w:rsidRPr="00B43F02">
        <w:rPr>
          <w:rFonts w:ascii="Times" w:hAnsi="Times"/>
        </w:rPr>
        <w:t xml:space="preserve">Chandler, J. and M.A. Brown. (2009). Meta-Review of Efficiency Potential Studies and Their Implications for the South. Retrieved from the Georgia Institute of Technology School of Public Policy website at: </w:t>
      </w:r>
      <w:r w:rsidRPr="00744684">
        <w:rPr>
          <w:rFonts w:ascii="Times" w:hAnsi="Times"/>
        </w:rPr>
        <w:t>www.spp.gatech.edu/faculty/workingpapers/wp51.pdf</w:t>
      </w:r>
    </w:p>
    <w:p w:rsidR="00E36C2F" w:rsidRPr="00B43F02" w:rsidRDefault="00E36C2F" w:rsidP="00E36C2F">
      <w:pPr>
        <w:pStyle w:val="ListParagraph"/>
        <w:numPr>
          <w:ilvl w:val="0"/>
          <w:numId w:val="2"/>
        </w:numPr>
        <w:spacing w:after="0" w:line="240" w:lineRule="auto"/>
        <w:rPr>
          <w:rFonts w:ascii="Times" w:hAnsi="Times"/>
        </w:rPr>
      </w:pPr>
      <w:r w:rsidRPr="00B43F02">
        <w:rPr>
          <w:rFonts w:ascii="Times" w:hAnsi="Times"/>
        </w:rPr>
        <w:t>A power plant is approximated as a 500 MW power plant as defined by Koomey, J. et al. (2009). Defining a standard metric for electricity savings. Environ. Res. Lett. 4 (2009)</w:t>
      </w:r>
    </w:p>
    <w:p w:rsidR="00E36C2F" w:rsidRPr="00B43F02" w:rsidRDefault="00E36C2F" w:rsidP="00E36C2F">
      <w:pPr>
        <w:pStyle w:val="ListParagraph"/>
        <w:numPr>
          <w:ilvl w:val="0"/>
          <w:numId w:val="2"/>
        </w:numPr>
        <w:spacing w:after="0" w:line="240" w:lineRule="auto"/>
        <w:rPr>
          <w:rFonts w:ascii="Times" w:hAnsi="Times"/>
        </w:rPr>
      </w:pPr>
      <w:r w:rsidRPr="00B43F02">
        <w:rPr>
          <w:rFonts w:ascii="Times" w:hAnsi="Times"/>
        </w:rPr>
        <w:t>The Wal-Mart equivalencies are calculated using information from Courtemanch, A. and L. Bensheimer. (2005). Environmental Impacts of the Proposed Wal-Mart Supercenter in Potsdam. Conservation Biology</w:t>
      </w:r>
    </w:p>
    <w:p w:rsidR="00E36C2F" w:rsidRPr="00B43F02" w:rsidRDefault="00E36C2F" w:rsidP="00E36C2F">
      <w:pPr>
        <w:pStyle w:val="ListParagraph"/>
        <w:numPr>
          <w:ilvl w:val="0"/>
          <w:numId w:val="2"/>
        </w:numPr>
        <w:spacing w:after="0" w:line="240" w:lineRule="auto"/>
        <w:rPr>
          <w:rFonts w:ascii="Times" w:hAnsi="Times"/>
        </w:rPr>
      </w:pPr>
      <w:r w:rsidRPr="00B43F02">
        <w:rPr>
          <w:rFonts w:ascii="Times" w:hAnsi="Times"/>
        </w:rPr>
        <w:t xml:space="preserve">Energy Star. (2009). Save Money and More with ENERGY STAR Qualified Heat Pump Water Heaters. </w:t>
      </w:r>
      <w:r w:rsidRPr="00B43F02">
        <w:rPr>
          <w:rFonts w:ascii="Times" w:hAnsi="Times"/>
          <w:sz w:val="20"/>
          <w:szCs w:val="24"/>
        </w:rPr>
        <w:t>Retrieved from: http://www.energystar.gov/index.cfm</w:t>
      </w:r>
      <w:proofErr w:type="gramStart"/>
      <w:r w:rsidRPr="00B43F02">
        <w:rPr>
          <w:rFonts w:ascii="Times" w:hAnsi="Times"/>
          <w:sz w:val="20"/>
          <w:szCs w:val="24"/>
        </w:rPr>
        <w:t>?c</w:t>
      </w:r>
      <w:proofErr w:type="gramEnd"/>
      <w:r w:rsidRPr="00B43F02">
        <w:rPr>
          <w:rFonts w:ascii="Times" w:hAnsi="Times"/>
          <w:sz w:val="20"/>
          <w:szCs w:val="24"/>
        </w:rPr>
        <w:t>=heat_ pump.pr_savings_benefits</w:t>
      </w:r>
      <w:r w:rsidRPr="00B43F02">
        <w:rPr>
          <w:rFonts w:ascii="Times" w:hAnsi="Times"/>
        </w:rPr>
        <w:br/>
        <w:t>HD-Supply. (2009). HD Supply Utilities offers new GE</w:t>
      </w:r>
      <w:r w:rsidRPr="00B43F02">
        <w:rPr>
          <w:rFonts w:ascii="Times" w:hAnsi="Times"/>
          <w:b/>
          <w:bCs/>
        </w:rPr>
        <w:t xml:space="preserve">® </w:t>
      </w:r>
      <w:r w:rsidRPr="00B43F02">
        <w:rPr>
          <w:rFonts w:ascii="Times" w:hAnsi="Times"/>
        </w:rPr>
        <w:t>hybrid water heater with energy efficiency and demand response capability.  Retrieved from:  http://www.hdsupply.com/pressroom/downloads/ HD%20Supply%20GE% 20Press%20Release.pdf</w:t>
      </w:r>
    </w:p>
    <w:p w:rsidR="00E36C2F" w:rsidRPr="00B43F02" w:rsidRDefault="00E36C2F" w:rsidP="00E36C2F">
      <w:pPr>
        <w:pStyle w:val="ListParagraph"/>
        <w:numPr>
          <w:ilvl w:val="0"/>
          <w:numId w:val="2"/>
        </w:numPr>
        <w:spacing w:after="0" w:line="240" w:lineRule="auto"/>
        <w:rPr>
          <w:rFonts w:ascii="Times" w:hAnsi="Times"/>
        </w:rPr>
      </w:pPr>
      <w:r w:rsidRPr="00B43F02">
        <w:rPr>
          <w:rFonts w:ascii="Times" w:hAnsi="Times"/>
        </w:rPr>
        <w:t xml:space="preserve">Energy Efficiency and Renewable Energy. (2008). </w:t>
      </w:r>
      <w:r w:rsidRPr="00B43F02">
        <w:rPr>
          <w:rFonts w:ascii="Times" w:hAnsi="Times"/>
          <w:bCs/>
        </w:rPr>
        <w:t xml:space="preserve">Benefits of Geothermal Heat Pump Systems. Retrieved from: </w:t>
      </w:r>
      <w:r w:rsidRPr="00B43F02">
        <w:rPr>
          <w:rFonts w:ascii="Times" w:hAnsi="Times"/>
        </w:rPr>
        <w:t>http://www.energysavers.gov/your_home/space_heating_cooling/index.cfm/ mytopic=12660</w:t>
      </w:r>
    </w:p>
    <w:p w:rsidR="00E36C2F" w:rsidRPr="00191544" w:rsidRDefault="00E36C2F" w:rsidP="00E36C2F">
      <w:pPr>
        <w:pStyle w:val="ListParagraph"/>
        <w:numPr>
          <w:ilvl w:val="0"/>
          <w:numId w:val="2"/>
        </w:numPr>
        <w:spacing w:after="0" w:line="240" w:lineRule="auto"/>
        <w:rPr>
          <w:rFonts w:ascii="Times" w:hAnsi="Times"/>
        </w:rPr>
      </w:pPr>
      <w:r w:rsidRPr="00B43F02">
        <w:rPr>
          <w:rFonts w:ascii="Times" w:hAnsi="Times"/>
          <w:bCs/>
        </w:rPr>
        <w:t xml:space="preserve">Energy Efficiency and Renewable Energy, Industrial Technologies Program. (2008). Super Boiler: A Super Hero of Steam Generation. </w:t>
      </w:r>
      <w:r w:rsidRPr="00B43F02">
        <w:rPr>
          <w:rFonts w:ascii="Times" w:hAnsi="Times"/>
        </w:rPr>
        <w:t>http://www1.eere.energy.gov/industry/bestpractices/ energymatters/archives/winter2008.html#a265</w:t>
      </w:r>
    </w:p>
    <w:p w:rsidR="00191544" w:rsidRPr="001426C8" w:rsidRDefault="00191544" w:rsidP="00191544">
      <w:pPr>
        <w:pStyle w:val="ListParagraph"/>
        <w:numPr>
          <w:ilvl w:val="0"/>
          <w:numId w:val="2"/>
        </w:numPr>
        <w:spacing w:after="0" w:line="240" w:lineRule="auto"/>
        <w:rPr>
          <w:rFonts w:ascii="Times" w:hAnsi="Times"/>
          <w:color w:val="000000"/>
        </w:rPr>
      </w:pPr>
      <w:r w:rsidRPr="001426C8">
        <w:rPr>
          <w:rFonts w:ascii="Times" w:hAnsi="Times"/>
        </w:rPr>
        <w:t>Energy Information Administration. (2009). State Energy Data System. Retrieved from: http://www.eia.doe.gov/ emeu/states/_seds.html.</w:t>
      </w:r>
    </w:p>
    <w:p w:rsidR="00191544" w:rsidRPr="001426C8" w:rsidRDefault="00191544" w:rsidP="00191544">
      <w:pPr>
        <w:pStyle w:val="ListParagraph"/>
        <w:numPr>
          <w:ilvl w:val="0"/>
          <w:numId w:val="2"/>
        </w:numPr>
        <w:spacing w:after="0" w:line="240" w:lineRule="auto"/>
        <w:rPr>
          <w:rFonts w:ascii="Times" w:hAnsi="Times"/>
          <w:color w:val="000000"/>
        </w:rPr>
      </w:pPr>
      <w:r w:rsidRPr="001426C8">
        <w:rPr>
          <w:rFonts w:ascii="Times" w:hAnsi="Times"/>
        </w:rPr>
        <w:t xml:space="preserve">Bureau of Labor Statistics.  (2010) Civilian labor force and unemployment by state and selected area, seasonally adjusted (Last modified: January 22, 2010, Accessed: March 9, 2010). http://www.bls.gov/news.release/laus.t03.htm  </w:t>
      </w:r>
    </w:p>
    <w:p w:rsidR="00191544" w:rsidRPr="00191544" w:rsidRDefault="00191544" w:rsidP="00191544">
      <w:pPr>
        <w:pStyle w:val="ListParagraph"/>
        <w:numPr>
          <w:ilvl w:val="0"/>
          <w:numId w:val="2"/>
        </w:numPr>
        <w:spacing w:after="0" w:line="240" w:lineRule="auto"/>
        <w:rPr>
          <w:rFonts w:ascii="Times" w:hAnsi="Times"/>
          <w:color w:val="000000"/>
        </w:rPr>
      </w:pPr>
      <w:r w:rsidRPr="001426C8">
        <w:rPr>
          <w:rFonts w:ascii="Times" w:hAnsi="Times"/>
        </w:rPr>
        <w:t>2007 GSP in 2007$: Bureau of Economic Analysis.  (2008). GDP by State. Retrieved from: http://www.bea.gov/ newsreleases/regional/gdp_state/gsp_newsrelease.htm.</w:t>
      </w:r>
    </w:p>
    <w:p w:rsidR="00191544" w:rsidRDefault="00191544" w:rsidP="00191544">
      <w:pPr>
        <w:pStyle w:val="ListParagraph"/>
        <w:numPr>
          <w:ilvl w:val="0"/>
          <w:numId w:val="2"/>
        </w:numPr>
        <w:spacing w:after="0" w:line="240" w:lineRule="auto"/>
        <w:rPr>
          <w:rFonts w:ascii="Times" w:hAnsi="Times"/>
          <w:color w:val="000000"/>
        </w:rPr>
      </w:pPr>
      <w:r w:rsidRPr="00CA390D">
        <w:rPr>
          <w:rFonts w:ascii="Times" w:hAnsi="Times"/>
          <w:color w:val="000000"/>
        </w:rPr>
        <w:t>Jagged industrial energy consumption, particularly natural gas, in the East South Central division causes the baseline forecast to fluctuate.</w:t>
      </w:r>
    </w:p>
    <w:p w:rsidR="00E36C2F" w:rsidRPr="00125927" w:rsidRDefault="00E36C2F" w:rsidP="00290F8C">
      <w:pPr>
        <w:pStyle w:val="ListParagraph"/>
        <w:spacing w:after="0" w:line="240" w:lineRule="auto"/>
        <w:rPr>
          <w:rFonts w:ascii="Times" w:hAnsi="Times"/>
        </w:rPr>
      </w:pPr>
    </w:p>
    <w:sectPr w:rsidR="00E36C2F" w:rsidRPr="00125927" w:rsidSect="00CB09C8">
      <w:footerReference w:type="even" r:id="rId23"/>
      <w:footerReference w:type="default" r:id="rId24"/>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72E" w:rsidRDefault="002E772E" w:rsidP="00DB06C7">
      <w:pPr>
        <w:spacing w:after="0" w:line="240" w:lineRule="auto"/>
      </w:pPr>
      <w:r>
        <w:separator/>
      </w:r>
    </w:p>
  </w:endnote>
  <w:endnote w:type="continuationSeparator" w:id="0">
    <w:p w:rsidR="002E772E" w:rsidRDefault="002E772E" w:rsidP="00DB0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6A" w:rsidRDefault="00305D21" w:rsidP="00A657D0">
    <w:pPr>
      <w:pStyle w:val="Footer"/>
      <w:framePr w:wrap="around" w:vAnchor="text" w:hAnchor="margin" w:xAlign="center" w:y="1"/>
      <w:rPr>
        <w:rStyle w:val="PageNumber"/>
      </w:rPr>
    </w:pPr>
    <w:r>
      <w:rPr>
        <w:rStyle w:val="PageNumber"/>
      </w:rPr>
      <w:fldChar w:fldCharType="begin"/>
    </w:r>
    <w:r w:rsidR="00AF236A">
      <w:rPr>
        <w:rStyle w:val="PageNumber"/>
      </w:rPr>
      <w:instrText xml:space="preserve">PAGE  </w:instrText>
    </w:r>
    <w:r>
      <w:rPr>
        <w:rStyle w:val="PageNumber"/>
      </w:rPr>
      <w:fldChar w:fldCharType="end"/>
    </w:r>
  </w:p>
  <w:p w:rsidR="00AF236A" w:rsidRDefault="00AF236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6A" w:rsidRPr="00E9513F" w:rsidRDefault="00305D21" w:rsidP="00A657D0">
    <w:pPr>
      <w:pStyle w:val="Footer"/>
      <w:framePr w:wrap="around" w:vAnchor="text" w:hAnchor="margin" w:xAlign="center" w:y="1"/>
      <w:rPr>
        <w:rStyle w:val="PageNumber"/>
      </w:rPr>
    </w:pPr>
    <w:r w:rsidRPr="00E9513F">
      <w:rPr>
        <w:rStyle w:val="PageNumber"/>
        <w:rFonts w:ascii="Times New Roman" w:hAnsi="Times New Roman"/>
      </w:rPr>
      <w:fldChar w:fldCharType="begin"/>
    </w:r>
    <w:r w:rsidR="00AF236A" w:rsidRPr="00E9513F">
      <w:rPr>
        <w:rStyle w:val="PageNumber"/>
        <w:rFonts w:ascii="Times New Roman" w:hAnsi="Times New Roman"/>
      </w:rPr>
      <w:instrText xml:space="preserve">PAGE  </w:instrText>
    </w:r>
    <w:r w:rsidRPr="00E9513F">
      <w:rPr>
        <w:rStyle w:val="PageNumber"/>
        <w:rFonts w:ascii="Times New Roman" w:hAnsi="Times New Roman"/>
      </w:rPr>
      <w:fldChar w:fldCharType="separate"/>
    </w:r>
    <w:r w:rsidR="00F4454C">
      <w:rPr>
        <w:rStyle w:val="PageNumber"/>
        <w:rFonts w:ascii="Times New Roman" w:hAnsi="Times New Roman"/>
        <w:noProof/>
      </w:rPr>
      <w:t>1</w:t>
    </w:r>
    <w:r w:rsidRPr="00E9513F">
      <w:rPr>
        <w:rStyle w:val="PageNumber"/>
        <w:rFonts w:ascii="Times New Roman" w:hAnsi="Times New Roman"/>
      </w:rPr>
      <w:fldChar w:fldCharType="end"/>
    </w:r>
  </w:p>
  <w:p w:rsidR="006D0FAC" w:rsidRPr="00DB06C7" w:rsidRDefault="006D0FAC" w:rsidP="00BE56B6">
    <w:pPr>
      <w:pStyle w:val="Footer"/>
      <w:jc w:val="center"/>
      <w:rPr>
        <w:rFonts w:ascii="Times New Roman" w:hAnsi="Times New Roman"/>
      </w:rPr>
    </w:pPr>
  </w:p>
  <w:p w:rsidR="006D0FAC" w:rsidRDefault="006D0FA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72E" w:rsidRDefault="002E772E" w:rsidP="00DB06C7">
      <w:pPr>
        <w:spacing w:after="0" w:line="240" w:lineRule="auto"/>
      </w:pPr>
      <w:r>
        <w:separator/>
      </w:r>
    </w:p>
  </w:footnote>
  <w:footnote w:type="continuationSeparator" w:id="0">
    <w:p w:rsidR="002E772E" w:rsidRDefault="002E772E" w:rsidP="00DB06C7">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5B1"/>
    <w:multiLevelType w:val="hybridMultilevel"/>
    <w:tmpl w:val="117C2BE2"/>
    <w:lvl w:ilvl="0" w:tplc="F8C42A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E437E"/>
    <w:multiLevelType w:val="hybridMultilevel"/>
    <w:tmpl w:val="66181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markup="0"/>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D22960"/>
    <w:rsid w:val="0000475D"/>
    <w:rsid w:val="000060DE"/>
    <w:rsid w:val="00021BDD"/>
    <w:rsid w:val="000252F2"/>
    <w:rsid w:val="000262B8"/>
    <w:rsid w:val="0003419D"/>
    <w:rsid w:val="00046BC7"/>
    <w:rsid w:val="0007071F"/>
    <w:rsid w:val="000719B8"/>
    <w:rsid w:val="000752E7"/>
    <w:rsid w:val="000808A7"/>
    <w:rsid w:val="00081F6A"/>
    <w:rsid w:val="00094CFF"/>
    <w:rsid w:val="000A4DE6"/>
    <w:rsid w:val="000B1404"/>
    <w:rsid w:val="000C156A"/>
    <w:rsid w:val="000C3BE0"/>
    <w:rsid w:val="000C6C01"/>
    <w:rsid w:val="000E7445"/>
    <w:rsid w:val="000F62A9"/>
    <w:rsid w:val="001034DD"/>
    <w:rsid w:val="00103981"/>
    <w:rsid w:val="00111229"/>
    <w:rsid w:val="00125927"/>
    <w:rsid w:val="00134197"/>
    <w:rsid w:val="0016202C"/>
    <w:rsid w:val="00167D9E"/>
    <w:rsid w:val="00191544"/>
    <w:rsid w:val="00191C74"/>
    <w:rsid w:val="00195388"/>
    <w:rsid w:val="001975A8"/>
    <w:rsid w:val="001A031A"/>
    <w:rsid w:val="001A0F58"/>
    <w:rsid w:val="001B4B48"/>
    <w:rsid w:val="001D02EB"/>
    <w:rsid w:val="001D2CD1"/>
    <w:rsid w:val="001E59A9"/>
    <w:rsid w:val="00202032"/>
    <w:rsid w:val="0022032A"/>
    <w:rsid w:val="0023020F"/>
    <w:rsid w:val="00231B26"/>
    <w:rsid w:val="00234392"/>
    <w:rsid w:val="002421F2"/>
    <w:rsid w:val="0026100E"/>
    <w:rsid w:val="00267DEA"/>
    <w:rsid w:val="00280FC7"/>
    <w:rsid w:val="00290F8C"/>
    <w:rsid w:val="002A061D"/>
    <w:rsid w:val="002B0D65"/>
    <w:rsid w:val="002B535D"/>
    <w:rsid w:val="002B5CF4"/>
    <w:rsid w:val="002C1BE9"/>
    <w:rsid w:val="002C6AAC"/>
    <w:rsid w:val="002D4906"/>
    <w:rsid w:val="002D575C"/>
    <w:rsid w:val="002E1489"/>
    <w:rsid w:val="002E14E5"/>
    <w:rsid w:val="002E772E"/>
    <w:rsid w:val="00301F60"/>
    <w:rsid w:val="00305D21"/>
    <w:rsid w:val="00310896"/>
    <w:rsid w:val="00314C58"/>
    <w:rsid w:val="00316101"/>
    <w:rsid w:val="00316C84"/>
    <w:rsid w:val="00323A70"/>
    <w:rsid w:val="003440B8"/>
    <w:rsid w:val="00344202"/>
    <w:rsid w:val="0035148B"/>
    <w:rsid w:val="00377749"/>
    <w:rsid w:val="00396504"/>
    <w:rsid w:val="00396512"/>
    <w:rsid w:val="003A68E0"/>
    <w:rsid w:val="003B34C3"/>
    <w:rsid w:val="003B77F9"/>
    <w:rsid w:val="003C77D8"/>
    <w:rsid w:val="003E1209"/>
    <w:rsid w:val="003E217D"/>
    <w:rsid w:val="003E2429"/>
    <w:rsid w:val="003E46E0"/>
    <w:rsid w:val="003F322A"/>
    <w:rsid w:val="003F4918"/>
    <w:rsid w:val="003F5F49"/>
    <w:rsid w:val="00406D5B"/>
    <w:rsid w:val="0041251D"/>
    <w:rsid w:val="004162E7"/>
    <w:rsid w:val="0042183A"/>
    <w:rsid w:val="004323A0"/>
    <w:rsid w:val="00440C64"/>
    <w:rsid w:val="00441300"/>
    <w:rsid w:val="00452B73"/>
    <w:rsid w:val="004719AB"/>
    <w:rsid w:val="004731D3"/>
    <w:rsid w:val="00483015"/>
    <w:rsid w:val="00495B41"/>
    <w:rsid w:val="004A0AB6"/>
    <w:rsid w:val="004A4B52"/>
    <w:rsid w:val="004B6C58"/>
    <w:rsid w:val="004C4A02"/>
    <w:rsid w:val="004D4F38"/>
    <w:rsid w:val="004D5772"/>
    <w:rsid w:val="004E66FB"/>
    <w:rsid w:val="004F4917"/>
    <w:rsid w:val="00526308"/>
    <w:rsid w:val="005273C9"/>
    <w:rsid w:val="00541745"/>
    <w:rsid w:val="00544F2D"/>
    <w:rsid w:val="00546436"/>
    <w:rsid w:val="00557655"/>
    <w:rsid w:val="0056169B"/>
    <w:rsid w:val="00575DBB"/>
    <w:rsid w:val="005811EE"/>
    <w:rsid w:val="005959FC"/>
    <w:rsid w:val="005A4382"/>
    <w:rsid w:val="005A62FF"/>
    <w:rsid w:val="005A6AFE"/>
    <w:rsid w:val="005C049A"/>
    <w:rsid w:val="005C6520"/>
    <w:rsid w:val="005E62C9"/>
    <w:rsid w:val="005F3FF0"/>
    <w:rsid w:val="005F4904"/>
    <w:rsid w:val="005F6116"/>
    <w:rsid w:val="005F7367"/>
    <w:rsid w:val="005F7811"/>
    <w:rsid w:val="005F7A32"/>
    <w:rsid w:val="006149C1"/>
    <w:rsid w:val="00635BC1"/>
    <w:rsid w:val="00636B99"/>
    <w:rsid w:val="006430AA"/>
    <w:rsid w:val="006469EF"/>
    <w:rsid w:val="00664838"/>
    <w:rsid w:val="00664A7E"/>
    <w:rsid w:val="00670A53"/>
    <w:rsid w:val="00681917"/>
    <w:rsid w:val="00686EAE"/>
    <w:rsid w:val="00693B36"/>
    <w:rsid w:val="00693F06"/>
    <w:rsid w:val="006A2263"/>
    <w:rsid w:val="006A52D4"/>
    <w:rsid w:val="006B3B69"/>
    <w:rsid w:val="006B68ED"/>
    <w:rsid w:val="006C2AE3"/>
    <w:rsid w:val="006C53A1"/>
    <w:rsid w:val="006C7CA0"/>
    <w:rsid w:val="006D0FAC"/>
    <w:rsid w:val="006E1FF9"/>
    <w:rsid w:val="006F2DE7"/>
    <w:rsid w:val="006F45C2"/>
    <w:rsid w:val="00701C03"/>
    <w:rsid w:val="00703B4F"/>
    <w:rsid w:val="007054AC"/>
    <w:rsid w:val="00710621"/>
    <w:rsid w:val="00711D41"/>
    <w:rsid w:val="007270A3"/>
    <w:rsid w:val="007331E9"/>
    <w:rsid w:val="00744684"/>
    <w:rsid w:val="007506E2"/>
    <w:rsid w:val="00754FF5"/>
    <w:rsid w:val="00761A5B"/>
    <w:rsid w:val="007678CF"/>
    <w:rsid w:val="0077177C"/>
    <w:rsid w:val="007755D6"/>
    <w:rsid w:val="0078104A"/>
    <w:rsid w:val="00786D3B"/>
    <w:rsid w:val="007A098F"/>
    <w:rsid w:val="007A09D3"/>
    <w:rsid w:val="007A24CF"/>
    <w:rsid w:val="007A2AD7"/>
    <w:rsid w:val="007B1A28"/>
    <w:rsid w:val="007D0469"/>
    <w:rsid w:val="007D31A5"/>
    <w:rsid w:val="007E79CB"/>
    <w:rsid w:val="007F71BD"/>
    <w:rsid w:val="00800781"/>
    <w:rsid w:val="00805019"/>
    <w:rsid w:val="008106BE"/>
    <w:rsid w:val="00814A1C"/>
    <w:rsid w:val="008203BE"/>
    <w:rsid w:val="00824D52"/>
    <w:rsid w:val="008341D3"/>
    <w:rsid w:val="008355AC"/>
    <w:rsid w:val="00837CA8"/>
    <w:rsid w:val="0084742B"/>
    <w:rsid w:val="00857793"/>
    <w:rsid w:val="008626D3"/>
    <w:rsid w:val="00864F97"/>
    <w:rsid w:val="008764E2"/>
    <w:rsid w:val="008811F5"/>
    <w:rsid w:val="00884888"/>
    <w:rsid w:val="00892E4D"/>
    <w:rsid w:val="008A2A7E"/>
    <w:rsid w:val="008B6DC1"/>
    <w:rsid w:val="008C09DB"/>
    <w:rsid w:val="008C1DEE"/>
    <w:rsid w:val="008C5921"/>
    <w:rsid w:val="008D1530"/>
    <w:rsid w:val="008E285C"/>
    <w:rsid w:val="008E464F"/>
    <w:rsid w:val="0091223E"/>
    <w:rsid w:val="00915EB2"/>
    <w:rsid w:val="009249FB"/>
    <w:rsid w:val="00941D28"/>
    <w:rsid w:val="00945473"/>
    <w:rsid w:val="00967342"/>
    <w:rsid w:val="00972203"/>
    <w:rsid w:val="00973FC1"/>
    <w:rsid w:val="0099212A"/>
    <w:rsid w:val="00996C9D"/>
    <w:rsid w:val="009A5B88"/>
    <w:rsid w:val="009B25C6"/>
    <w:rsid w:val="009C099A"/>
    <w:rsid w:val="009C521B"/>
    <w:rsid w:val="009D3E2B"/>
    <w:rsid w:val="009D4DB1"/>
    <w:rsid w:val="009E0CB4"/>
    <w:rsid w:val="009E587B"/>
    <w:rsid w:val="009E6A2F"/>
    <w:rsid w:val="009F1A78"/>
    <w:rsid w:val="00A01E2B"/>
    <w:rsid w:val="00A01FF6"/>
    <w:rsid w:val="00A03100"/>
    <w:rsid w:val="00A05EE1"/>
    <w:rsid w:val="00A1092B"/>
    <w:rsid w:val="00A12F79"/>
    <w:rsid w:val="00A14058"/>
    <w:rsid w:val="00A23A69"/>
    <w:rsid w:val="00A23F82"/>
    <w:rsid w:val="00A35889"/>
    <w:rsid w:val="00A35B75"/>
    <w:rsid w:val="00A4418E"/>
    <w:rsid w:val="00A52DA7"/>
    <w:rsid w:val="00A73914"/>
    <w:rsid w:val="00A81964"/>
    <w:rsid w:val="00A8440F"/>
    <w:rsid w:val="00A929D4"/>
    <w:rsid w:val="00A94156"/>
    <w:rsid w:val="00A94A10"/>
    <w:rsid w:val="00AA2E76"/>
    <w:rsid w:val="00AA482F"/>
    <w:rsid w:val="00AC52A5"/>
    <w:rsid w:val="00AD3EB4"/>
    <w:rsid w:val="00AE171B"/>
    <w:rsid w:val="00AE4785"/>
    <w:rsid w:val="00AF236A"/>
    <w:rsid w:val="00B06111"/>
    <w:rsid w:val="00B15788"/>
    <w:rsid w:val="00B17341"/>
    <w:rsid w:val="00B26D83"/>
    <w:rsid w:val="00B33E6D"/>
    <w:rsid w:val="00B36E1A"/>
    <w:rsid w:val="00B43F02"/>
    <w:rsid w:val="00B45E31"/>
    <w:rsid w:val="00B5789F"/>
    <w:rsid w:val="00B71D6C"/>
    <w:rsid w:val="00B7349A"/>
    <w:rsid w:val="00B77968"/>
    <w:rsid w:val="00B8173A"/>
    <w:rsid w:val="00B828DE"/>
    <w:rsid w:val="00B85D6B"/>
    <w:rsid w:val="00B944F5"/>
    <w:rsid w:val="00B95DCB"/>
    <w:rsid w:val="00BA380C"/>
    <w:rsid w:val="00BA6883"/>
    <w:rsid w:val="00BA7055"/>
    <w:rsid w:val="00BB0CFD"/>
    <w:rsid w:val="00BB4775"/>
    <w:rsid w:val="00BD2DDF"/>
    <w:rsid w:val="00BD5C8F"/>
    <w:rsid w:val="00BE56B6"/>
    <w:rsid w:val="00BF4C93"/>
    <w:rsid w:val="00BF7591"/>
    <w:rsid w:val="00C0243B"/>
    <w:rsid w:val="00C036D0"/>
    <w:rsid w:val="00C0667E"/>
    <w:rsid w:val="00C15B0B"/>
    <w:rsid w:val="00C22F35"/>
    <w:rsid w:val="00C2383A"/>
    <w:rsid w:val="00C361B1"/>
    <w:rsid w:val="00C3719D"/>
    <w:rsid w:val="00C37495"/>
    <w:rsid w:val="00C424BF"/>
    <w:rsid w:val="00C43EC0"/>
    <w:rsid w:val="00C46382"/>
    <w:rsid w:val="00C46A7B"/>
    <w:rsid w:val="00C5715B"/>
    <w:rsid w:val="00C654E7"/>
    <w:rsid w:val="00CB09C8"/>
    <w:rsid w:val="00CC72EC"/>
    <w:rsid w:val="00CD2B48"/>
    <w:rsid w:val="00CD5473"/>
    <w:rsid w:val="00CE0ECD"/>
    <w:rsid w:val="00CE1222"/>
    <w:rsid w:val="00CE3FD0"/>
    <w:rsid w:val="00CF65E1"/>
    <w:rsid w:val="00D04617"/>
    <w:rsid w:val="00D078F6"/>
    <w:rsid w:val="00D10BA1"/>
    <w:rsid w:val="00D22960"/>
    <w:rsid w:val="00D27AA3"/>
    <w:rsid w:val="00D46B7E"/>
    <w:rsid w:val="00D5442A"/>
    <w:rsid w:val="00D6570F"/>
    <w:rsid w:val="00D65E21"/>
    <w:rsid w:val="00D66686"/>
    <w:rsid w:val="00D8203D"/>
    <w:rsid w:val="00D84B91"/>
    <w:rsid w:val="00D91AE8"/>
    <w:rsid w:val="00D977B8"/>
    <w:rsid w:val="00D97FDF"/>
    <w:rsid w:val="00DA1101"/>
    <w:rsid w:val="00DA1F02"/>
    <w:rsid w:val="00DA6798"/>
    <w:rsid w:val="00DB06C7"/>
    <w:rsid w:val="00DB07AE"/>
    <w:rsid w:val="00DB29F2"/>
    <w:rsid w:val="00DC3987"/>
    <w:rsid w:val="00DF67FF"/>
    <w:rsid w:val="00E04981"/>
    <w:rsid w:val="00E16737"/>
    <w:rsid w:val="00E36C2F"/>
    <w:rsid w:val="00E4249F"/>
    <w:rsid w:val="00E4758F"/>
    <w:rsid w:val="00E50C50"/>
    <w:rsid w:val="00E53B4E"/>
    <w:rsid w:val="00E55169"/>
    <w:rsid w:val="00E66903"/>
    <w:rsid w:val="00E823D3"/>
    <w:rsid w:val="00E8326B"/>
    <w:rsid w:val="00E9060D"/>
    <w:rsid w:val="00E9513F"/>
    <w:rsid w:val="00E974F3"/>
    <w:rsid w:val="00EA0E40"/>
    <w:rsid w:val="00EA2AA9"/>
    <w:rsid w:val="00EA3E61"/>
    <w:rsid w:val="00EB46B2"/>
    <w:rsid w:val="00EF2F73"/>
    <w:rsid w:val="00F00E4F"/>
    <w:rsid w:val="00F01298"/>
    <w:rsid w:val="00F01327"/>
    <w:rsid w:val="00F03DB2"/>
    <w:rsid w:val="00F03FC5"/>
    <w:rsid w:val="00F12E1F"/>
    <w:rsid w:val="00F1650D"/>
    <w:rsid w:val="00F219EE"/>
    <w:rsid w:val="00F2472F"/>
    <w:rsid w:val="00F338D8"/>
    <w:rsid w:val="00F35666"/>
    <w:rsid w:val="00F4206C"/>
    <w:rsid w:val="00F4454C"/>
    <w:rsid w:val="00F5224B"/>
    <w:rsid w:val="00F52FFD"/>
    <w:rsid w:val="00F55866"/>
    <w:rsid w:val="00F67A82"/>
    <w:rsid w:val="00F71167"/>
    <w:rsid w:val="00F87C40"/>
    <w:rsid w:val="00F924AD"/>
    <w:rsid w:val="00F96626"/>
    <w:rsid w:val="00FB0B20"/>
    <w:rsid w:val="00FB18DC"/>
    <w:rsid w:val="00FB1B94"/>
    <w:rsid w:val="00FC41FA"/>
    <w:rsid w:val="00FD1AA1"/>
    <w:rsid w:val="00FF27C5"/>
    <w:rsid w:val="00FF422D"/>
    <w:rsid w:val="00FF6CDB"/>
  </w:rsids>
  <m:mathPr>
    <m:mathFont m:val="SimSun"/>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4"/>
        <w:szCs w:val="24"/>
        <w:lang w:val="en-US" w:eastAsia="zh-CN" w:bidi="ar-SA"/>
      </w:rPr>
    </w:rPrDefault>
    <w:pPrDefault/>
  </w:docDefaults>
  <w:latentStyles w:defLockedState="0" w:defUIPriority="0" w:defSemiHidden="0" w:defUnhideWhenUsed="0" w:defQFormat="0" w:count="276">
    <w:lsdException w:name="endnote text" w:uiPriority="99"/>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1D2"/>
    <w:pPr>
      <w:spacing w:after="200" w:line="276" w:lineRule="auto"/>
    </w:pPr>
    <w:rPr>
      <w:sz w:val="22"/>
      <w:szCs w:val="22"/>
    </w:rPr>
  </w:style>
  <w:style w:type="paragraph" w:styleId="Heading1">
    <w:name w:val="heading 1"/>
    <w:basedOn w:val="Normal"/>
    <w:link w:val="Heading1Char"/>
    <w:uiPriority w:val="9"/>
    <w:qFormat/>
    <w:rsid w:val="00D078F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D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5D"/>
    <w:rPr>
      <w:rFonts w:ascii="Lucida Grande" w:hAnsi="Lucida Grande"/>
      <w:sz w:val="18"/>
      <w:szCs w:val="18"/>
    </w:rPr>
  </w:style>
  <w:style w:type="character" w:customStyle="1" w:styleId="BalloonTextChar0">
    <w:name w:val="Balloon Text Char"/>
    <w:basedOn w:val="DefaultParagraphFont"/>
    <w:link w:val="BalloonText"/>
    <w:uiPriority w:val="99"/>
    <w:semiHidden/>
    <w:rsid w:val="00F86CF8"/>
    <w:rPr>
      <w:rFonts w:ascii="Lucida Grande" w:hAnsi="Lucida Grande"/>
      <w:sz w:val="18"/>
      <w:szCs w:val="18"/>
    </w:rPr>
  </w:style>
  <w:style w:type="character" w:customStyle="1" w:styleId="BalloonTextChar2">
    <w:name w:val="Balloon Text Char"/>
    <w:basedOn w:val="DefaultParagraphFont"/>
    <w:link w:val="BalloonText"/>
    <w:uiPriority w:val="99"/>
    <w:semiHidden/>
    <w:rsid w:val="00F86CF8"/>
    <w:rPr>
      <w:rFonts w:ascii="Lucida Grande" w:hAnsi="Lucida Grande"/>
      <w:sz w:val="18"/>
      <w:szCs w:val="18"/>
    </w:rPr>
  </w:style>
  <w:style w:type="character" w:customStyle="1" w:styleId="BalloonTextChar3">
    <w:name w:val="Balloon Text Char"/>
    <w:basedOn w:val="DefaultParagraphFont"/>
    <w:link w:val="BalloonText"/>
    <w:uiPriority w:val="99"/>
    <w:semiHidden/>
    <w:rsid w:val="00E073D9"/>
    <w:rPr>
      <w:rFonts w:ascii="Lucida Grande" w:hAnsi="Lucida Grande"/>
      <w:sz w:val="18"/>
      <w:szCs w:val="18"/>
    </w:rPr>
  </w:style>
  <w:style w:type="character" w:customStyle="1" w:styleId="BalloonTextChar4">
    <w:name w:val="Balloon Text Char"/>
    <w:basedOn w:val="DefaultParagraphFont"/>
    <w:link w:val="BalloonText"/>
    <w:uiPriority w:val="99"/>
    <w:semiHidden/>
    <w:rsid w:val="00E073D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D7AEF"/>
    <w:rPr>
      <w:rFonts w:ascii="Tahoma" w:hAnsi="Tahoma" w:cs="Tahoma"/>
      <w:sz w:val="16"/>
      <w:szCs w:val="16"/>
    </w:rPr>
  </w:style>
  <w:style w:type="table" w:styleId="TableGrid">
    <w:name w:val="Table Grid"/>
    <w:basedOn w:val="TableNormal"/>
    <w:uiPriority w:val="59"/>
    <w:rsid w:val="007331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B06C7"/>
    <w:pPr>
      <w:tabs>
        <w:tab w:val="center" w:pos="4680"/>
        <w:tab w:val="right" w:pos="9360"/>
      </w:tabs>
    </w:pPr>
  </w:style>
  <w:style w:type="character" w:customStyle="1" w:styleId="HeaderChar">
    <w:name w:val="Header Char"/>
    <w:basedOn w:val="DefaultParagraphFont"/>
    <w:link w:val="Header"/>
    <w:uiPriority w:val="99"/>
    <w:rsid w:val="00DB06C7"/>
    <w:rPr>
      <w:sz w:val="22"/>
      <w:szCs w:val="22"/>
    </w:rPr>
  </w:style>
  <w:style w:type="paragraph" w:styleId="Footer">
    <w:name w:val="footer"/>
    <w:basedOn w:val="Normal"/>
    <w:link w:val="FooterChar"/>
    <w:uiPriority w:val="99"/>
    <w:unhideWhenUsed/>
    <w:rsid w:val="00DB06C7"/>
    <w:pPr>
      <w:tabs>
        <w:tab w:val="center" w:pos="4680"/>
        <w:tab w:val="right" w:pos="9360"/>
      </w:tabs>
    </w:pPr>
  </w:style>
  <w:style w:type="character" w:customStyle="1" w:styleId="FooterChar">
    <w:name w:val="Footer Char"/>
    <w:basedOn w:val="DefaultParagraphFont"/>
    <w:link w:val="Footer"/>
    <w:uiPriority w:val="99"/>
    <w:rsid w:val="00DB06C7"/>
    <w:rPr>
      <w:sz w:val="22"/>
      <w:szCs w:val="22"/>
    </w:rPr>
  </w:style>
  <w:style w:type="paragraph" w:styleId="EndnoteText">
    <w:name w:val="endnote text"/>
    <w:basedOn w:val="Normal"/>
    <w:link w:val="EndnoteTextChar"/>
    <w:uiPriority w:val="99"/>
    <w:unhideWhenUsed/>
    <w:rsid w:val="00D46B7E"/>
    <w:rPr>
      <w:sz w:val="20"/>
      <w:szCs w:val="20"/>
    </w:rPr>
  </w:style>
  <w:style w:type="character" w:customStyle="1" w:styleId="EndnoteTextChar">
    <w:name w:val="Endnote Text Char"/>
    <w:basedOn w:val="DefaultParagraphFont"/>
    <w:link w:val="EndnoteText"/>
    <w:uiPriority w:val="99"/>
    <w:rsid w:val="00D46B7E"/>
  </w:style>
  <w:style w:type="character" w:styleId="EndnoteReference">
    <w:name w:val="endnote reference"/>
    <w:basedOn w:val="DefaultParagraphFont"/>
    <w:uiPriority w:val="99"/>
    <w:semiHidden/>
    <w:unhideWhenUsed/>
    <w:rsid w:val="00D46B7E"/>
    <w:rPr>
      <w:vertAlign w:val="superscript"/>
    </w:rPr>
  </w:style>
  <w:style w:type="paragraph" w:styleId="FootnoteText">
    <w:name w:val="footnote text"/>
    <w:basedOn w:val="Normal"/>
    <w:link w:val="FootnoteTextChar"/>
    <w:unhideWhenUsed/>
    <w:rsid w:val="001B4B48"/>
    <w:pPr>
      <w:spacing w:after="0" w:line="240" w:lineRule="auto"/>
    </w:pPr>
    <w:rPr>
      <w:sz w:val="20"/>
      <w:szCs w:val="20"/>
    </w:rPr>
  </w:style>
  <w:style w:type="character" w:customStyle="1" w:styleId="FootnoteTextChar">
    <w:name w:val="Footnote Text Char"/>
    <w:basedOn w:val="DefaultParagraphFont"/>
    <w:link w:val="FootnoteText"/>
    <w:uiPriority w:val="99"/>
    <w:rsid w:val="001B4B48"/>
  </w:style>
  <w:style w:type="character" w:styleId="FootnoteReference">
    <w:name w:val="footnote reference"/>
    <w:basedOn w:val="DefaultParagraphFont"/>
    <w:uiPriority w:val="99"/>
    <w:semiHidden/>
    <w:unhideWhenUsed/>
    <w:rsid w:val="001B4B48"/>
    <w:rPr>
      <w:vertAlign w:val="superscript"/>
    </w:rPr>
  </w:style>
  <w:style w:type="character" w:styleId="CommentReference">
    <w:name w:val="annotation reference"/>
    <w:basedOn w:val="DefaultParagraphFont"/>
    <w:uiPriority w:val="99"/>
    <w:semiHidden/>
    <w:unhideWhenUsed/>
    <w:rsid w:val="00701C03"/>
    <w:rPr>
      <w:sz w:val="16"/>
      <w:szCs w:val="16"/>
    </w:rPr>
  </w:style>
  <w:style w:type="paragraph" w:styleId="CommentText">
    <w:name w:val="annotation text"/>
    <w:basedOn w:val="Normal"/>
    <w:link w:val="CommentTextChar"/>
    <w:uiPriority w:val="99"/>
    <w:semiHidden/>
    <w:unhideWhenUsed/>
    <w:rsid w:val="00701C03"/>
    <w:pPr>
      <w:spacing w:line="240" w:lineRule="auto"/>
    </w:pPr>
    <w:rPr>
      <w:sz w:val="20"/>
      <w:szCs w:val="20"/>
    </w:rPr>
  </w:style>
  <w:style w:type="character" w:customStyle="1" w:styleId="CommentTextChar">
    <w:name w:val="Comment Text Char"/>
    <w:basedOn w:val="DefaultParagraphFont"/>
    <w:link w:val="CommentText"/>
    <w:uiPriority w:val="99"/>
    <w:semiHidden/>
    <w:rsid w:val="00701C03"/>
  </w:style>
  <w:style w:type="paragraph" w:styleId="CommentSubject">
    <w:name w:val="annotation subject"/>
    <w:basedOn w:val="CommentText"/>
    <w:next w:val="CommentText"/>
    <w:link w:val="CommentSubjectChar"/>
    <w:uiPriority w:val="99"/>
    <w:semiHidden/>
    <w:unhideWhenUsed/>
    <w:rsid w:val="00701C03"/>
    <w:rPr>
      <w:b/>
      <w:bCs/>
    </w:rPr>
  </w:style>
  <w:style w:type="character" w:customStyle="1" w:styleId="CommentSubjectChar">
    <w:name w:val="Comment Subject Char"/>
    <w:basedOn w:val="CommentTextChar"/>
    <w:link w:val="CommentSubject"/>
    <w:uiPriority w:val="99"/>
    <w:semiHidden/>
    <w:rsid w:val="00701C03"/>
    <w:rPr>
      <w:b/>
      <w:bCs/>
    </w:rPr>
  </w:style>
  <w:style w:type="paragraph" w:styleId="HTMLPreformatted">
    <w:name w:val="HTML Preformatted"/>
    <w:basedOn w:val="Normal"/>
    <w:link w:val="HTMLPreformattedChar"/>
    <w:uiPriority w:val="99"/>
    <w:unhideWhenUsed/>
    <w:rsid w:val="0096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967342"/>
    <w:rPr>
      <w:rFonts w:ascii="Courier New" w:eastAsia="Times New Roman" w:hAnsi="Courier New" w:cs="Courier New"/>
      <w:lang w:eastAsia="en-US"/>
    </w:rPr>
  </w:style>
  <w:style w:type="paragraph" w:customStyle="1" w:styleId="Default">
    <w:name w:val="Default"/>
    <w:rsid w:val="00967342"/>
    <w:pPr>
      <w:autoSpaceDE w:val="0"/>
      <w:autoSpaceDN w:val="0"/>
      <w:adjustRightInd w:val="0"/>
    </w:pPr>
    <w:rPr>
      <w:rFonts w:ascii="Times New Roman" w:hAnsi="Times New Roman"/>
      <w:color w:val="000000"/>
    </w:rPr>
  </w:style>
  <w:style w:type="character" w:styleId="Hyperlink">
    <w:name w:val="Hyperlink"/>
    <w:basedOn w:val="DefaultParagraphFont"/>
    <w:rsid w:val="007A098F"/>
    <w:rPr>
      <w:color w:val="0000FF"/>
      <w:u w:val="single"/>
    </w:rPr>
  </w:style>
  <w:style w:type="character" w:customStyle="1" w:styleId="Heading1Char">
    <w:name w:val="Heading 1 Char"/>
    <w:basedOn w:val="DefaultParagraphFont"/>
    <w:link w:val="Heading1"/>
    <w:uiPriority w:val="9"/>
    <w:rsid w:val="00D078F6"/>
    <w:rPr>
      <w:rFonts w:ascii="Times New Roman" w:eastAsia="Times New Roman" w:hAnsi="Times New Roman"/>
      <w:b/>
      <w:bCs/>
      <w:kern w:val="36"/>
      <w:sz w:val="48"/>
      <w:szCs w:val="48"/>
    </w:rPr>
  </w:style>
  <w:style w:type="paragraph" w:styleId="TOC1">
    <w:name w:val="toc 1"/>
    <w:basedOn w:val="Normal"/>
    <w:next w:val="Normal"/>
    <w:autoRedefine/>
    <w:uiPriority w:val="39"/>
    <w:unhideWhenUsed/>
    <w:qFormat/>
    <w:rsid w:val="00BE56B6"/>
    <w:pPr>
      <w:spacing w:after="100" w:line="240" w:lineRule="auto"/>
    </w:pPr>
    <w:rPr>
      <w:rFonts w:ascii="Times New Roman" w:eastAsia="Times New Roman" w:hAnsi="Times New Roman"/>
      <w:sz w:val="24"/>
      <w:szCs w:val="24"/>
      <w:lang w:eastAsia="en-US"/>
    </w:rPr>
  </w:style>
  <w:style w:type="paragraph" w:styleId="ListParagraph">
    <w:name w:val="List Paragraph"/>
    <w:basedOn w:val="Normal"/>
    <w:uiPriority w:val="99"/>
    <w:qFormat/>
    <w:rsid w:val="00E36C2F"/>
    <w:pPr>
      <w:ind w:left="720"/>
      <w:contextualSpacing/>
    </w:pPr>
  </w:style>
  <w:style w:type="character" w:styleId="PageNumber">
    <w:name w:val="page number"/>
    <w:basedOn w:val="DefaultParagraphFont"/>
    <w:rsid w:val="00AF236A"/>
  </w:style>
</w:styles>
</file>

<file path=word/webSettings.xml><?xml version="1.0" encoding="utf-8"?>
<w:webSettings xmlns:r="http://schemas.openxmlformats.org/officeDocument/2006/relationships" xmlns:w="http://schemas.openxmlformats.org/wordprocessingml/2006/main">
  <w:divs>
    <w:div w:id="51395400">
      <w:bodyDiv w:val="1"/>
      <w:marLeft w:val="0"/>
      <w:marRight w:val="0"/>
      <w:marTop w:val="0"/>
      <w:marBottom w:val="0"/>
      <w:divBdr>
        <w:top w:val="none" w:sz="0" w:space="0" w:color="auto"/>
        <w:left w:val="none" w:sz="0" w:space="0" w:color="auto"/>
        <w:bottom w:val="none" w:sz="0" w:space="0" w:color="auto"/>
        <w:right w:val="none" w:sz="0" w:space="0" w:color="auto"/>
      </w:divBdr>
    </w:div>
    <w:div w:id="213586488">
      <w:bodyDiv w:val="1"/>
      <w:marLeft w:val="0"/>
      <w:marRight w:val="0"/>
      <w:marTop w:val="0"/>
      <w:marBottom w:val="0"/>
      <w:divBdr>
        <w:top w:val="none" w:sz="0" w:space="0" w:color="auto"/>
        <w:left w:val="none" w:sz="0" w:space="0" w:color="auto"/>
        <w:bottom w:val="none" w:sz="0" w:space="0" w:color="auto"/>
        <w:right w:val="none" w:sz="0" w:space="0" w:color="auto"/>
      </w:divBdr>
    </w:div>
    <w:div w:id="377894718">
      <w:bodyDiv w:val="1"/>
      <w:marLeft w:val="0"/>
      <w:marRight w:val="0"/>
      <w:marTop w:val="0"/>
      <w:marBottom w:val="0"/>
      <w:divBdr>
        <w:top w:val="none" w:sz="0" w:space="0" w:color="auto"/>
        <w:left w:val="none" w:sz="0" w:space="0" w:color="auto"/>
        <w:bottom w:val="none" w:sz="0" w:space="0" w:color="auto"/>
        <w:right w:val="none" w:sz="0" w:space="0" w:color="auto"/>
      </w:divBdr>
    </w:div>
    <w:div w:id="944926003">
      <w:bodyDiv w:val="1"/>
      <w:marLeft w:val="0"/>
      <w:marRight w:val="0"/>
      <w:marTop w:val="0"/>
      <w:marBottom w:val="0"/>
      <w:divBdr>
        <w:top w:val="none" w:sz="0" w:space="0" w:color="auto"/>
        <w:left w:val="none" w:sz="0" w:space="0" w:color="auto"/>
        <w:bottom w:val="none" w:sz="0" w:space="0" w:color="auto"/>
        <w:right w:val="none" w:sz="0" w:space="0" w:color="auto"/>
      </w:divBdr>
    </w:div>
    <w:div w:id="1375884127">
      <w:bodyDiv w:val="1"/>
      <w:marLeft w:val="0"/>
      <w:marRight w:val="0"/>
      <w:marTop w:val="0"/>
      <w:marBottom w:val="0"/>
      <w:divBdr>
        <w:top w:val="none" w:sz="0" w:space="0" w:color="auto"/>
        <w:left w:val="none" w:sz="0" w:space="0" w:color="auto"/>
        <w:bottom w:val="none" w:sz="0" w:space="0" w:color="auto"/>
        <w:right w:val="none" w:sz="0" w:space="0" w:color="auto"/>
      </w:divBdr>
    </w:div>
    <w:div w:id="1920408303">
      <w:bodyDiv w:val="1"/>
      <w:marLeft w:val="0"/>
      <w:marRight w:val="0"/>
      <w:marTop w:val="0"/>
      <w:marBottom w:val="0"/>
      <w:divBdr>
        <w:top w:val="none" w:sz="0" w:space="0" w:color="auto"/>
        <w:left w:val="none" w:sz="0" w:space="0" w:color="auto"/>
        <w:bottom w:val="none" w:sz="0" w:space="0" w:color="auto"/>
        <w:right w:val="none" w:sz="0" w:space="0" w:color="auto"/>
      </w:divBdr>
    </w:div>
    <w:div w:id="19835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hyperlink" Target="http://www.ef.org" TargetMode="External"/><Relationship Id="rId21" Type="http://schemas.openxmlformats.org/officeDocument/2006/relationships/hyperlink" Target="http://www.kresge.org" TargetMode="External"/><Relationship Id="rId22" Type="http://schemas.openxmlformats.org/officeDocument/2006/relationships/hyperlink" Target="http://www.turnerfoundation.org"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chart" Target="charts/chart9.xml"/><Relationship Id="rId18" Type="http://schemas.openxmlformats.org/officeDocument/2006/relationships/chart" Target="charts/chart10.xml"/><Relationship Id="rId19" Type="http://schemas.openxmlformats.org/officeDocument/2006/relationships/chart" Target="charts/chart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5.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gth733f\Local%20Settings\Temp\State%20profile%20graphs%20022710.xls" TargetMode="External"/><Relationship Id="rId2"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LIZZIE\Desktop\GRA%20design%20work\state%20profile%20graphs%20020310.xls" TargetMode="External"/><Relationship Id="rId2" Type="http://schemas.openxmlformats.org/officeDocument/2006/relationships/chartUserShapes" Target="../drawings/drawing2.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4.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60995356349687"/>
          <c:y val="0.0601851851851851"/>
          <c:w val="0.785743152298287"/>
          <c:h val="0.794120370370375"/>
        </c:manualLayout>
      </c:layout>
      <c:barChart>
        <c:barDir val="bar"/>
        <c:grouping val="clustered"/>
        <c:ser>
          <c:idx val="0"/>
          <c:order val="0"/>
          <c:cat>
            <c:strRef>
              <c:f>('historical by state 2'!$B$1,'historical by state 2'!$C$1,'historical by state 2'!$I$1)</c:f>
              <c:strCache>
                <c:ptCount val="3"/>
                <c:pt idx="0">
                  <c:v>United States 
101,600 TBtu</c:v>
                </c:pt>
                <c:pt idx="1">
                  <c:v>South Region 
43,650 TBtu</c:v>
                </c:pt>
                <c:pt idx="2">
                  <c:v>Tennessee 
2,330 TBtu</c:v>
                </c:pt>
              </c:strCache>
            </c:strRef>
          </c:cat>
          <c:val>
            <c:numRef>
              <c:f>('historical by state 2'!$B$7,'historical by state 2'!$C$7,'historical by state 2'!$I$7)</c:f>
              <c:numCache>
                <c:formatCode>#,##0.0</c:formatCode>
                <c:ptCount val="3"/>
                <c:pt idx="0" formatCode="#,##0">
                  <c:v>101600.066</c:v>
                </c:pt>
                <c:pt idx="1">
                  <c:v>43650.1</c:v>
                </c:pt>
                <c:pt idx="2" formatCode="General">
                  <c:v>2330.5</c:v>
                </c:pt>
              </c:numCache>
            </c:numRef>
          </c:val>
        </c:ser>
        <c:gapWidth val="75"/>
        <c:overlap val="-25"/>
        <c:axId val="550665112"/>
        <c:axId val="550842072"/>
      </c:barChart>
      <c:catAx>
        <c:axId val="550665112"/>
        <c:scaling>
          <c:orientation val="minMax"/>
        </c:scaling>
        <c:axPos val="l"/>
        <c:majorTickMark val="none"/>
        <c:tickLblPos val="nextTo"/>
        <c:txPr>
          <a:bodyPr/>
          <a:lstStyle/>
          <a:p>
            <a:pPr>
              <a:defRPr>
                <a:latin typeface="Times New Roman" pitchFamily="18" charset="0"/>
                <a:cs typeface="Times New Roman" pitchFamily="18" charset="0"/>
              </a:defRPr>
            </a:pPr>
            <a:endParaRPr lang="en-US"/>
          </a:p>
        </c:txPr>
        <c:crossAx val="550842072"/>
        <c:crosses val="autoZero"/>
        <c:auto val="1"/>
        <c:lblAlgn val="ctr"/>
        <c:lblOffset val="100"/>
      </c:catAx>
      <c:valAx>
        <c:axId val="550842072"/>
        <c:scaling>
          <c:orientation val="minMax"/>
        </c:scaling>
        <c:axPos val="b"/>
        <c:majorGridlines/>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550665112"/>
        <c:crosses val="autoZero"/>
        <c:crossBetween val="between"/>
      </c:valAx>
      <c:spPr>
        <a:ln>
          <a:solidFill>
            <a:schemeClr val="bg1">
              <a:lumMod val="50000"/>
            </a:schemeClr>
          </a:solidFill>
        </a:ln>
      </c:spPr>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21789573459716"/>
          <c:y val="0.0509259259259259"/>
          <c:w val="0.732973094003065"/>
          <c:h val="0.69706401283173"/>
        </c:manualLayout>
      </c:layout>
      <c:lineChart>
        <c:grouping val="standard"/>
        <c:ser>
          <c:idx val="0"/>
          <c:order val="0"/>
          <c:tx>
            <c:strRef>
              <c:f>'ESC STATES - Savings'!$C$483</c:f>
              <c:strCache>
                <c:ptCount val="1"/>
                <c:pt idx="0">
                  <c:v>Baseline Forecast</c:v>
                </c:pt>
              </c:strCache>
            </c:strRef>
          </c:tx>
          <c:marker>
            <c:symbol val="none"/>
          </c:marker>
          <c:cat>
            <c:numRef>
              <c:f>'ESC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'ESC STATES - Savings'!$G$483:$AA$483</c:f>
              <c:numCache>
                <c:formatCode>General</c:formatCode>
                <c:ptCount val="21"/>
                <c:pt idx="0">
                  <c:v>656.8447294008994</c:v>
                </c:pt>
                <c:pt idx="1">
                  <c:v>677.2865022724895</c:v>
                </c:pt>
                <c:pt idx="2">
                  <c:v>685.3291781811611</c:v>
                </c:pt>
                <c:pt idx="3">
                  <c:v>694.401338258608</c:v>
                </c:pt>
                <c:pt idx="4">
                  <c:v>696.2853759757086</c:v>
                </c:pt>
                <c:pt idx="5">
                  <c:v>695.6191673828079</c:v>
                </c:pt>
                <c:pt idx="6">
                  <c:v>699.463238317113</c:v>
                </c:pt>
                <c:pt idx="7">
                  <c:v>712.4010658891314</c:v>
                </c:pt>
                <c:pt idx="8">
                  <c:v>723.5535223525266</c:v>
                </c:pt>
                <c:pt idx="9">
                  <c:v>727.6210850177365</c:v>
                </c:pt>
                <c:pt idx="10">
                  <c:v>736.3071174125146</c:v>
                </c:pt>
                <c:pt idx="11">
                  <c:v>752.3352348069075</c:v>
                </c:pt>
                <c:pt idx="12">
                  <c:v>761.6938923202773</c:v>
                </c:pt>
                <c:pt idx="13">
                  <c:v>762.3458682806971</c:v>
                </c:pt>
                <c:pt idx="14">
                  <c:v>765.2161354504938</c:v>
                </c:pt>
                <c:pt idx="15">
                  <c:v>773.2713772887033</c:v>
                </c:pt>
                <c:pt idx="16">
                  <c:v>782.1306744602582</c:v>
                </c:pt>
                <c:pt idx="17">
                  <c:v>779.6209213380715</c:v>
                </c:pt>
                <c:pt idx="18">
                  <c:v>778.5600073854499</c:v>
                </c:pt>
                <c:pt idx="19">
                  <c:v>786.7465374579257</c:v>
                </c:pt>
                <c:pt idx="20">
                  <c:v>790.1973701559602</c:v>
                </c:pt>
              </c:numCache>
            </c:numRef>
          </c:val>
        </c:ser>
        <c:ser>
          <c:idx val="1"/>
          <c:order val="1"/>
          <c:tx>
            <c:strRef>
              <c:f>'ESC STATES - Savings'!$C$484</c:f>
              <c:strCache>
                <c:ptCount val="1"/>
                <c:pt idx="0">
                  <c:v>Energy Efficiency Scenario</c:v>
                </c:pt>
              </c:strCache>
            </c:strRef>
          </c:tx>
          <c:marker>
            <c:symbol val="none"/>
          </c:marker>
          <c:cat>
            <c:numRef>
              <c:f>'ESC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'ESC STATES - Savings'!$G$484:$AA$484</c:f>
              <c:numCache>
                <c:formatCode>General</c:formatCode>
                <c:ptCount val="21"/>
                <c:pt idx="0">
                  <c:v>640.5791312392135</c:v>
                </c:pt>
                <c:pt idx="1">
                  <c:v>656.087665987628</c:v>
                </c:pt>
                <c:pt idx="2">
                  <c:v>661.7326252912424</c:v>
                </c:pt>
                <c:pt idx="3">
                  <c:v>669.1003414986055</c:v>
                </c:pt>
                <c:pt idx="4">
                  <c:v>665.2818661584333</c:v>
                </c:pt>
                <c:pt idx="5">
                  <c:v>658.640768539558</c:v>
                </c:pt>
                <c:pt idx="6">
                  <c:v>658.1299349647497</c:v>
                </c:pt>
                <c:pt idx="7">
                  <c:v>667.876831970871</c:v>
                </c:pt>
                <c:pt idx="8">
                  <c:v>672.715932216311</c:v>
                </c:pt>
                <c:pt idx="9">
                  <c:v>673.546742200338</c:v>
                </c:pt>
                <c:pt idx="10">
                  <c:v>677.5337783721486</c:v>
                </c:pt>
                <c:pt idx="11">
                  <c:v>687.6235934615075</c:v>
                </c:pt>
                <c:pt idx="12">
                  <c:v>695.1374508682101</c:v>
                </c:pt>
                <c:pt idx="13">
                  <c:v>694.9172797984462</c:v>
                </c:pt>
                <c:pt idx="14">
                  <c:v>695.2028288315594</c:v>
                </c:pt>
                <c:pt idx="15">
                  <c:v>697.2148839227235</c:v>
                </c:pt>
                <c:pt idx="16">
                  <c:v>697.7636287634374</c:v>
                </c:pt>
                <c:pt idx="17">
                  <c:v>688.8714582526065</c:v>
                </c:pt>
                <c:pt idx="18">
                  <c:v>688.1259669150344</c:v>
                </c:pt>
                <c:pt idx="19">
                  <c:v>686.36524569107</c:v>
                </c:pt>
                <c:pt idx="20">
                  <c:v>683.069274876183</c:v>
                </c:pt>
              </c:numCache>
            </c:numRef>
          </c:val>
        </c:ser>
        <c:marker val="1"/>
        <c:axId val="610006536"/>
        <c:axId val="610034808"/>
      </c:lineChart>
      <c:catAx>
        <c:axId val="61000653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610034808"/>
        <c:crosses val="autoZero"/>
        <c:auto val="1"/>
        <c:lblAlgn val="ctr"/>
        <c:lblOffset val="100"/>
        <c:tickLblSkip val="5"/>
        <c:tickMarkSkip val="5"/>
      </c:catAx>
      <c:valAx>
        <c:axId val="610034808"/>
        <c:scaling>
          <c:orientation val="minMax"/>
          <c:max val="850.0"/>
          <c:min val="600.0"/>
        </c:scaling>
        <c:axPos val="l"/>
        <c:majorGridlines/>
        <c:title>
          <c:tx>
            <c:rich>
              <a:bodyPr rot="-5400000" vert="horz"/>
              <a:lstStyle/>
              <a:p>
                <a:pPr>
                  <a:defRPr/>
                </a:pPr>
                <a:r>
                  <a:rPr lang="en-US">
                    <a:latin typeface="Times New Roman" pitchFamily="18" charset="0"/>
                    <a:cs typeface="Times New Roman" pitchFamily="18" charset="0"/>
                  </a:rPr>
                  <a:t>Consumption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610006536"/>
        <c:crosses val="autoZero"/>
        <c:crossBetween val="between"/>
        <c:majorUnit val="50.0"/>
      </c:valAx>
    </c:plotArea>
    <c:legend>
      <c:legendPos val="b"/>
      <c:layout>
        <c:manualLayout>
          <c:xMode val="edge"/>
          <c:yMode val="edge"/>
          <c:x val="0.00207680350635782"/>
          <c:y val="0.867072975048428"/>
          <c:w val="0.995846611049447"/>
          <c:h val="0.126983085447652"/>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24704840632761"/>
          <c:y val="0.0552295287027498"/>
          <c:w val="0.730734978243031"/>
          <c:h val="0.721672430779254"/>
        </c:manualLayout>
      </c:layout>
      <c:barChart>
        <c:barDir val="col"/>
        <c:grouping val="stacked"/>
        <c:ser>
          <c:idx val="0"/>
          <c:order val="0"/>
          <c:tx>
            <c:strRef>
              <c:f>'ESC STATES - Savings'!$D$382</c:f>
              <c:strCache>
                <c:ptCount val="1"/>
                <c:pt idx="0">
                  <c:v>Electricity</c:v>
                </c:pt>
              </c:strCache>
            </c:strRef>
          </c:tx>
          <c:cat>
            <c:numRef>
              <c:f>('SA STATES - Savings'!$Q$4,'SA STATES - Savings'!$AA$4)</c:f>
              <c:numCache>
                <c:formatCode>General</c:formatCode>
                <c:ptCount val="2"/>
                <c:pt idx="0">
                  <c:v>2020.0</c:v>
                </c:pt>
                <c:pt idx="1">
                  <c:v>2030.0</c:v>
                </c:pt>
              </c:numCache>
            </c:numRef>
          </c:cat>
          <c:val>
            <c:numRef>
              <c:f>('ESC STATES - Savings'!$R$382,'ESC STATES - Savings'!$AB$382)</c:f>
              <c:numCache>
                <c:formatCode>General</c:formatCode>
                <c:ptCount val="2"/>
                <c:pt idx="0">
                  <c:v>46.18656166059483</c:v>
                </c:pt>
                <c:pt idx="1">
                  <c:v>89.78740357294967</c:v>
                </c:pt>
              </c:numCache>
            </c:numRef>
          </c:val>
        </c:ser>
        <c:ser>
          <c:idx val="2"/>
          <c:order val="1"/>
          <c:tx>
            <c:strRef>
              <c:f>'ESC STATES - Savings'!$D$383</c:f>
              <c:strCache>
                <c:ptCount val="1"/>
                <c:pt idx="0">
                  <c:v>Natural Gas</c:v>
                </c:pt>
              </c:strCache>
            </c:strRef>
          </c:tx>
          <c:val>
            <c:numRef>
              <c:f>('ESC STATES - Savings'!$Q$383,'ESC STATES - Savings'!$AA$383)</c:f>
              <c:numCache>
                <c:formatCode>General</c:formatCode>
                <c:ptCount val="2"/>
                <c:pt idx="0">
                  <c:v>16.70525217004666</c:v>
                </c:pt>
                <c:pt idx="1">
                  <c:v>24.62024125168266</c:v>
                </c:pt>
              </c:numCache>
            </c:numRef>
          </c:val>
        </c:ser>
        <c:ser>
          <c:idx val="3"/>
          <c:order val="2"/>
          <c:tx>
            <c:strRef>
              <c:f>'ESC STATES - Savings'!$D$385</c:f>
              <c:strCache>
                <c:ptCount val="1"/>
                <c:pt idx="0">
                  <c:v>Other</c:v>
                </c:pt>
              </c:strCache>
            </c:strRef>
          </c:tx>
          <c:spPr>
            <a:solidFill>
              <a:srgbClr val="C0504D"/>
            </a:solidFill>
          </c:spPr>
          <c:val>
            <c:numRef>
              <c:f>('ESC STATES - Savings'!$Q$388,'ESC STATES - Savings'!$AA$388)</c:f>
              <c:numCache>
                <c:formatCode>General</c:formatCode>
                <c:ptCount val="2"/>
                <c:pt idx="0">
                  <c:v>-4.118474790248245</c:v>
                </c:pt>
                <c:pt idx="1">
                  <c:v>-7.279549544852912</c:v>
                </c:pt>
              </c:numCache>
            </c:numRef>
          </c:val>
        </c:ser>
        <c:gapWidth val="75"/>
        <c:overlap val="100"/>
        <c:axId val="687137448"/>
        <c:axId val="687878632"/>
      </c:barChart>
      <c:catAx>
        <c:axId val="687137448"/>
        <c:scaling>
          <c:orientation val="minMax"/>
        </c:scaling>
        <c:axPos val="b"/>
        <c:numFmt formatCode="General" sourceLinked="1"/>
        <c:majorTickMark val="none"/>
        <c:tickLblPos val="nextTo"/>
        <c:crossAx val="687878632"/>
        <c:crosses val="autoZero"/>
        <c:auto val="1"/>
        <c:lblAlgn val="ctr"/>
        <c:lblOffset val="100"/>
      </c:catAx>
      <c:valAx>
        <c:axId val="687878632"/>
        <c:scaling>
          <c:orientation val="minMax"/>
          <c:max val="125.0"/>
          <c:min val="0.0"/>
        </c:scaling>
        <c:axPos val="l"/>
        <c:majorGridlines/>
        <c:title>
          <c:tx>
            <c:rich>
              <a:bodyPr rot="-5400000" vert="horz"/>
              <a:lstStyle/>
              <a:p>
                <a:pPr>
                  <a:defRPr/>
                </a:pPr>
                <a:r>
                  <a:rPr lang="en-US"/>
                  <a:t>Total Energy Savings (TBtu)</a:t>
                </a:r>
              </a:p>
            </c:rich>
          </c:tx>
        </c:title>
        <c:numFmt formatCode="General" sourceLinked="1"/>
        <c:majorTickMark val="none"/>
        <c:tickLblPos val="nextTo"/>
        <c:spPr>
          <a:ln w="9525">
            <a:noFill/>
          </a:ln>
        </c:spPr>
        <c:crossAx val="687137448"/>
        <c:crosses val="autoZero"/>
        <c:crossBetween val="between"/>
        <c:majorUnit val="25.0"/>
      </c:valAx>
    </c:plotArea>
    <c:legend>
      <c:legendPos val="b"/>
      <c:layout>
        <c:manualLayout>
          <c:xMode val="edge"/>
          <c:yMode val="edge"/>
          <c:x val="0.21036713476509"/>
          <c:y val="0.876534401540422"/>
          <c:w val="0.692809931605265"/>
          <c:h val="0.123465598459582"/>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4407196969697"/>
          <c:y val="0.0509259259259259"/>
          <c:w val="0.822471665473634"/>
          <c:h val="0.669089979137223"/>
        </c:manualLayout>
      </c:layout>
      <c:barChart>
        <c:barDir val="bar"/>
        <c:grouping val="percentStacked"/>
        <c:ser>
          <c:idx val="0"/>
          <c:order val="0"/>
          <c:tx>
            <c:strRef>
              <c:f>'historical by sector'!$A$3</c:f>
              <c:strCache>
                <c:ptCount val="1"/>
                <c:pt idx="0">
                  <c:v>Residential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sector'!$Q$1)</c:f>
              <c:strCache>
                <c:ptCount val="3"/>
                <c:pt idx="0">
                  <c:v>United States 
101,600 TBtu</c:v>
                </c:pt>
                <c:pt idx="1">
                  <c:v>South Region 
43,650 TBtu</c:v>
                </c:pt>
                <c:pt idx="2">
                  <c:v>Tennessee 
2,330 Tbtu</c:v>
                </c:pt>
              </c:strCache>
            </c:strRef>
          </c:cat>
          <c:val>
            <c:numRef>
              <c:f>('historical by sector'!$B$14,'historical by sector'!$C$14,'historical by sector'!$Q$14)</c:f>
              <c:numCache>
                <c:formatCode>0.0%</c:formatCode>
                <c:ptCount val="3"/>
                <c:pt idx="0">
                  <c:v>0.214</c:v>
                </c:pt>
                <c:pt idx="1">
                  <c:v>0.195</c:v>
                </c:pt>
                <c:pt idx="2">
                  <c:v>0.234</c:v>
                </c:pt>
              </c:numCache>
            </c:numRef>
          </c:val>
        </c:ser>
        <c:ser>
          <c:idx val="1"/>
          <c:order val="1"/>
          <c:tx>
            <c:strRef>
              <c:f>'historical by sector'!$A$4</c:f>
              <c:strCache>
                <c:ptCount val="1"/>
                <c:pt idx="0">
                  <c:v>Commercial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sector'!$Q$1)</c:f>
              <c:strCache>
                <c:ptCount val="3"/>
                <c:pt idx="0">
                  <c:v>United States 
101,600 TBtu</c:v>
                </c:pt>
                <c:pt idx="1">
                  <c:v>South Region 
43,650 TBtu</c:v>
                </c:pt>
                <c:pt idx="2">
                  <c:v>Tennessee 
2,330 Tbtu</c:v>
                </c:pt>
              </c:strCache>
            </c:strRef>
          </c:cat>
          <c:val>
            <c:numRef>
              <c:f>('historical by sector'!$B$15,'historical by sector'!$C$15,'historical by sector'!$Q$15)</c:f>
              <c:numCache>
                <c:formatCode>0.0%</c:formatCode>
                <c:ptCount val="3"/>
                <c:pt idx="0">
                  <c:v>0.181</c:v>
                </c:pt>
                <c:pt idx="1">
                  <c:v>0.16</c:v>
                </c:pt>
                <c:pt idx="2">
                  <c:v>0.166</c:v>
                </c:pt>
              </c:numCache>
            </c:numRef>
          </c:val>
        </c:ser>
        <c:ser>
          <c:idx val="2"/>
          <c:order val="2"/>
          <c:tx>
            <c:strRef>
              <c:f>'historical by sector'!$A$5</c:f>
              <c:strCache>
                <c:ptCount val="1"/>
                <c:pt idx="0">
                  <c:v>Industrial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sector'!$Q$1)</c:f>
              <c:strCache>
                <c:ptCount val="3"/>
                <c:pt idx="0">
                  <c:v>United States 
101,600 TBtu</c:v>
                </c:pt>
                <c:pt idx="1">
                  <c:v>South Region 
43,650 TBtu</c:v>
                </c:pt>
                <c:pt idx="2">
                  <c:v>Tennessee 
2,330 Tbtu</c:v>
                </c:pt>
              </c:strCache>
            </c:strRef>
          </c:cat>
          <c:val>
            <c:numRef>
              <c:f>('historical by sector'!$B$16,'historical by sector'!$C$16,'historical by sector'!$Q$16)</c:f>
              <c:numCache>
                <c:formatCode>0.0%</c:formatCode>
                <c:ptCount val="3"/>
                <c:pt idx="0">
                  <c:v>0.318000000000005</c:v>
                </c:pt>
                <c:pt idx="1">
                  <c:v>0.376000000000005</c:v>
                </c:pt>
                <c:pt idx="2">
                  <c:v>0.317000000000005</c:v>
                </c:pt>
              </c:numCache>
            </c:numRef>
          </c:val>
        </c:ser>
        <c:ser>
          <c:idx val="3"/>
          <c:order val="3"/>
          <c:tx>
            <c:strRef>
              <c:f>'historical by sector'!$A$6</c:f>
              <c:strCache>
                <c:ptCount val="1"/>
                <c:pt idx="0">
                  <c:v>Transportation</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sector'!$Q$1)</c:f>
              <c:strCache>
                <c:ptCount val="3"/>
                <c:pt idx="0">
                  <c:v>United States 
101,600 TBtu</c:v>
                </c:pt>
                <c:pt idx="1">
                  <c:v>South Region 
43,650 TBtu</c:v>
                </c:pt>
                <c:pt idx="2">
                  <c:v>Tennessee 
2,330 Tbtu</c:v>
                </c:pt>
              </c:strCache>
            </c:strRef>
          </c:cat>
          <c:val>
            <c:numRef>
              <c:f>('historical by sector'!$B$17,'historical by sector'!$C$17,'historical by sector'!$Q$17)</c:f>
              <c:numCache>
                <c:formatCode>0.0%</c:formatCode>
                <c:ptCount val="3"/>
                <c:pt idx="0">
                  <c:v>0.286</c:v>
                </c:pt>
                <c:pt idx="1">
                  <c:v>0.269</c:v>
                </c:pt>
                <c:pt idx="2">
                  <c:v>0.282</c:v>
                </c:pt>
              </c:numCache>
            </c:numRef>
          </c:val>
        </c:ser>
        <c:dLbls>
          <c:showVal val="1"/>
        </c:dLbls>
        <c:gapWidth val="75"/>
        <c:overlap val="100"/>
        <c:axId val="669680632"/>
        <c:axId val="635105416"/>
      </c:barChart>
      <c:catAx>
        <c:axId val="669680632"/>
        <c:scaling>
          <c:orientation val="minMax"/>
        </c:scaling>
        <c:axPos val="l"/>
        <c:majorGridlines/>
        <c:majorTickMark val="none"/>
        <c:tickLblPos val="nextTo"/>
        <c:txPr>
          <a:bodyPr/>
          <a:lstStyle/>
          <a:p>
            <a:pPr>
              <a:defRPr>
                <a:latin typeface="Times New Roman" pitchFamily="18" charset="0"/>
                <a:cs typeface="Times New Roman" pitchFamily="18" charset="0"/>
              </a:defRPr>
            </a:pPr>
            <a:endParaRPr lang="en-US"/>
          </a:p>
        </c:txPr>
        <c:crossAx val="635105416"/>
        <c:crosses val="autoZero"/>
        <c:auto val="1"/>
        <c:lblAlgn val="ctr"/>
        <c:lblOffset val="100"/>
      </c:catAx>
      <c:valAx>
        <c:axId val="635105416"/>
        <c:scaling>
          <c:orientation val="minMax"/>
        </c:scaling>
        <c:axPos val="b"/>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669680632"/>
        <c:crosses val="autoZero"/>
        <c:crossBetween val="between"/>
      </c:valAx>
      <c:spPr>
        <a:ln>
          <a:solidFill>
            <a:sysClr val="window" lastClr="FFFFFF">
              <a:lumMod val="50000"/>
            </a:sysClr>
          </a:solidFill>
        </a:ln>
      </c:spPr>
    </c:plotArea>
    <c:legend>
      <c:legendPos val="b"/>
      <c:layout>
        <c:manualLayout>
          <c:xMode val="edge"/>
          <c:yMode val="edge"/>
          <c:x val="0.236909150560732"/>
          <c:y val="0.89786298019564"/>
          <c:w val="0.526181549749448"/>
          <c:h val="0.0794097470770699"/>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65023268805014"/>
          <c:y val="0.0348473937773405"/>
          <c:w val="0.760607248037657"/>
          <c:h val="0.687651059746564"/>
        </c:manualLayout>
      </c:layout>
      <c:barChart>
        <c:barDir val="bar"/>
        <c:grouping val="percentStacked"/>
        <c:ser>
          <c:idx val="0"/>
          <c:order val="0"/>
          <c:tx>
            <c:strRef>
              <c:f>'historical by fuel type'!$A$11</c:f>
              <c:strCache>
                <c:ptCount val="1"/>
                <c:pt idx="0">
                  <c:v>Coal</c:v>
                </c:pt>
              </c:strCache>
            </c:strRef>
          </c:tx>
          <c:dLbls>
            <c:numFmt formatCode="0.0%" sourceLinked="0"/>
            <c:spPr>
              <a:noFill/>
            </c:spPr>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type'!$Q$1)</c:f>
              <c:strCache>
                <c:ptCount val="3"/>
                <c:pt idx="0">
                  <c:v>United States 
101,600 TBtu</c:v>
                </c:pt>
                <c:pt idx="1">
                  <c:v>South Region 
43,650 TBtu</c:v>
                </c:pt>
                <c:pt idx="2">
                  <c:v>Tennessee 
2,330 Tbtu</c:v>
                </c:pt>
              </c:strCache>
            </c:strRef>
          </c:cat>
          <c:val>
            <c:numRef>
              <c:f>('historical by fuel type'!$B$11,'historical by fuel type'!$C$11,'historical by fuel type'!$Q$11)</c:f>
              <c:numCache>
                <c:formatCode>General</c:formatCode>
                <c:ptCount val="3"/>
                <c:pt idx="0">
                  <c:v>0.223907480314966</c:v>
                </c:pt>
                <c:pt idx="1">
                  <c:v>0.229862542955326</c:v>
                </c:pt>
                <c:pt idx="2">
                  <c:v>0.288521776442829</c:v>
                </c:pt>
              </c:numCache>
            </c:numRef>
          </c:val>
        </c:ser>
        <c:ser>
          <c:idx val="1"/>
          <c:order val="1"/>
          <c:tx>
            <c:strRef>
              <c:f>'historical by fuel type'!$A$12</c:f>
              <c:strCache>
                <c:ptCount val="1"/>
                <c:pt idx="0">
                  <c:v>Natural Gas</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type'!$Q$1)</c:f>
              <c:strCache>
                <c:ptCount val="3"/>
                <c:pt idx="0">
                  <c:v>United States 
101,600 TBtu</c:v>
                </c:pt>
                <c:pt idx="1">
                  <c:v>South Region 
43,650 TBtu</c:v>
                </c:pt>
                <c:pt idx="2">
                  <c:v>Tennessee 
2,330 Tbtu</c:v>
                </c:pt>
              </c:strCache>
            </c:strRef>
          </c:cat>
          <c:val>
            <c:numRef>
              <c:f>('historical by fuel type'!$B$12,'historical by fuel type'!$C$12,'historical by fuel type'!$Q$12)</c:f>
              <c:numCache>
                <c:formatCode>General</c:formatCode>
                <c:ptCount val="3"/>
                <c:pt idx="0">
                  <c:v>0.23255905511811</c:v>
                </c:pt>
                <c:pt idx="1">
                  <c:v>0.225253150057277</c:v>
                </c:pt>
                <c:pt idx="2">
                  <c:v>0.0985625402274218</c:v>
                </c:pt>
              </c:numCache>
            </c:numRef>
          </c:val>
        </c:ser>
        <c:ser>
          <c:idx val="2"/>
          <c:order val="2"/>
          <c:tx>
            <c:strRef>
              <c:f>'historical by fuel type'!$A$13</c:f>
              <c:strCache>
                <c:ptCount val="1"/>
                <c:pt idx="0">
                  <c:v>Petroleum</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type'!$Q$1)</c:f>
              <c:strCache>
                <c:ptCount val="3"/>
                <c:pt idx="0">
                  <c:v>United States 
101,600 TBtu</c:v>
                </c:pt>
                <c:pt idx="1">
                  <c:v>South Region 
43,650 TBtu</c:v>
                </c:pt>
                <c:pt idx="2">
                  <c:v>Tennessee 
2,330 Tbtu</c:v>
                </c:pt>
              </c:strCache>
            </c:strRef>
          </c:cat>
          <c:val>
            <c:numRef>
              <c:f>('historical by fuel type'!$B$13,'historical by fuel type'!$C$13,'historical by fuel type'!$Q$13)</c:f>
              <c:numCache>
                <c:formatCode>General</c:formatCode>
                <c:ptCount val="3"/>
                <c:pt idx="0">
                  <c:v>0.391466535433078</c:v>
                </c:pt>
                <c:pt idx="1">
                  <c:v>0.407225658648334</c:v>
                </c:pt>
                <c:pt idx="2">
                  <c:v>0.354902381463211</c:v>
                </c:pt>
              </c:numCache>
            </c:numRef>
          </c:val>
        </c:ser>
        <c:ser>
          <c:idx val="3"/>
          <c:order val="3"/>
          <c:tx>
            <c:strRef>
              <c:f>'historical by fuel type'!$A$14</c:f>
              <c:strCache>
                <c:ptCount val="1"/>
                <c:pt idx="0">
                  <c:v>Nuclear Electric Power</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type'!$Q$1)</c:f>
              <c:strCache>
                <c:ptCount val="3"/>
                <c:pt idx="0">
                  <c:v>United States 
101,600 TBtu</c:v>
                </c:pt>
                <c:pt idx="1">
                  <c:v>South Region 
43,650 TBtu</c:v>
                </c:pt>
                <c:pt idx="2">
                  <c:v>Tennessee 
2,330 Tbtu</c:v>
                </c:pt>
              </c:strCache>
            </c:strRef>
          </c:cat>
          <c:val>
            <c:numRef>
              <c:f>('historical by fuel type'!$B$14,'historical by fuel type'!$C$14,'historical by fuel type'!$Q$14)</c:f>
              <c:numCache>
                <c:formatCode>General</c:formatCode>
                <c:ptCount val="3"/>
                <c:pt idx="0">
                  <c:v>0.083248031496063</c:v>
                </c:pt>
                <c:pt idx="1">
                  <c:v>0.0823184421534948</c:v>
                </c:pt>
                <c:pt idx="2">
                  <c:v>0.129156833297576</c:v>
                </c:pt>
              </c:numCache>
            </c:numRef>
          </c:val>
        </c:ser>
        <c:ser>
          <c:idx val="4"/>
          <c:order val="4"/>
          <c:tx>
            <c:strRef>
              <c:f>'historical by fuel type'!$A$15</c:f>
              <c:strCache>
                <c:ptCount val="1"/>
                <c:pt idx="0">
                  <c:v>Renewables</c:v>
                </c:pt>
              </c:strCache>
            </c:strRef>
          </c:tx>
          <c:dLbls>
            <c:dLbl>
              <c:idx val="1"/>
              <c:layout>
                <c:manualLayout>
                  <c:x val="0.0070992772432669"/>
                  <c:y val="0.0909289930481453"/>
                </c:manualLayout>
              </c:layout>
              <c:tx>
                <c:rich>
                  <a:bodyPr/>
                  <a:lstStyle/>
                  <a:p>
                    <a:r>
                      <a:rPr lang="en-US">
                        <a:solidFill>
                          <a:sysClr val="windowText" lastClr="000000"/>
                        </a:solidFill>
                      </a:rPr>
                      <a:t>4.1%</a:t>
                    </a:r>
                  </a:p>
                </c:rich>
              </c:tx>
              <c:showVal val="1"/>
            </c:dLbl>
            <c:dLbl>
              <c:idx val="2"/>
              <c:layout>
                <c:manualLayout>
                  <c:x val="0.0"/>
                  <c:y val="0.0909289930481453"/>
                </c:manualLayout>
              </c:layout>
              <c:tx>
                <c:rich>
                  <a:bodyPr/>
                  <a:lstStyle/>
                  <a:p>
                    <a:r>
                      <a:rPr lang="en-US">
                        <a:solidFill>
                          <a:sysClr val="windowText" lastClr="000000"/>
                        </a:solidFill>
                      </a:rPr>
                      <a:t>4.4%</a:t>
                    </a:r>
                  </a:p>
                </c:rich>
              </c:tx>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type'!$Q$1)</c:f>
              <c:strCache>
                <c:ptCount val="3"/>
                <c:pt idx="0">
                  <c:v>United States 
101,600 TBtu</c:v>
                </c:pt>
                <c:pt idx="1">
                  <c:v>South Region 
43,650 TBtu</c:v>
                </c:pt>
                <c:pt idx="2">
                  <c:v>Tennessee 
2,330 Tbtu</c:v>
                </c:pt>
              </c:strCache>
            </c:strRef>
          </c:cat>
          <c:val>
            <c:numRef>
              <c:f>('historical by fuel type'!$B$15,'historical by fuel type'!$C$15,'historical by fuel type'!$Q$15)</c:f>
              <c:numCache>
                <c:formatCode>General</c:formatCode>
                <c:ptCount val="3"/>
                <c:pt idx="0">
                  <c:v>0.0670669291338595</c:v>
                </c:pt>
                <c:pt idx="1">
                  <c:v>0.0409873997709049</c:v>
                </c:pt>
                <c:pt idx="2">
                  <c:v>0.044453979832654</c:v>
                </c:pt>
              </c:numCache>
            </c:numRef>
          </c:val>
        </c:ser>
        <c:ser>
          <c:idx val="5"/>
          <c:order val="5"/>
          <c:tx>
            <c:strRef>
              <c:f>'historical by fuel type'!$A$16</c:f>
              <c:strCache>
                <c:ptCount val="1"/>
                <c:pt idx="0">
                  <c:v>Other</c:v>
                </c:pt>
              </c:strCache>
            </c:strRef>
          </c:tx>
          <c:dLbls>
            <c:dLbl>
              <c:idx val="0"/>
              <c:layout>
                <c:manualLayout>
                  <c:x val="0.0264786271227614"/>
                  <c:y val="-0.0034972689633902"/>
                </c:manualLayout>
              </c:layout>
              <c:tx>
                <c:rich>
                  <a:bodyPr/>
                  <a:lstStyle/>
                  <a:p>
                    <a:r>
                      <a:rPr lang="en-US">
                        <a:solidFill>
                          <a:sysClr val="windowText" lastClr="000000"/>
                        </a:solidFill>
                      </a:rPr>
                      <a:t>0.2%</a:t>
                    </a:r>
                  </a:p>
                </c:rich>
              </c:tx>
              <c:showVal val="1"/>
            </c:dLbl>
            <c:dLbl>
              <c:idx val="1"/>
              <c:layout>
                <c:manualLayout>
                  <c:x val="0.0316594225157218"/>
                  <c:y val="-0.00349726896339014"/>
                </c:manualLayout>
              </c:layout>
              <c:numFmt formatCode="0.0%" sourceLinked="0"/>
              <c:spPr/>
              <c:txPr>
                <a:bodyPr/>
                <a:lstStyle/>
                <a:p>
                  <a:pPr>
                    <a:defRPr>
                      <a:solidFill>
                        <a:sysClr val="windowText" lastClr="000000"/>
                      </a:solidFill>
                      <a:latin typeface="Times New Roman" pitchFamily="18" charset="0"/>
                      <a:cs typeface="Times New Roman" pitchFamily="18" charset="0"/>
                    </a:defRPr>
                  </a:pPr>
                  <a:endParaRPr lang="en-US"/>
                </a:p>
              </c:txPr>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type'!$Q$1)</c:f>
              <c:strCache>
                <c:ptCount val="3"/>
                <c:pt idx="0">
                  <c:v>United States 
101,600 TBtu</c:v>
                </c:pt>
                <c:pt idx="1">
                  <c:v>South Region 
43,650 TBtu</c:v>
                </c:pt>
                <c:pt idx="2">
                  <c:v>Tennessee 
2,330 Tbtu</c:v>
                </c:pt>
              </c:strCache>
            </c:strRef>
          </c:cat>
          <c:val>
            <c:numRef>
              <c:f>('historical by fuel type'!$B$16,'historical by fuel type'!$C$16,'historical by fuel type'!$Q$16)</c:f>
              <c:numCache>
                <c:formatCode>General</c:formatCode>
                <c:ptCount val="3"/>
                <c:pt idx="0">
                  <c:v>0.00175196850393701</c:v>
                </c:pt>
                <c:pt idx="1">
                  <c:v>0.0143528064146623</c:v>
                </c:pt>
                <c:pt idx="2">
                  <c:v>0.0844024887363228</c:v>
                </c:pt>
              </c:numCache>
            </c:numRef>
          </c:val>
        </c:ser>
        <c:dLbls>
          <c:showVal val="1"/>
        </c:dLbls>
        <c:gapWidth val="95"/>
        <c:overlap val="100"/>
        <c:axId val="588727832"/>
        <c:axId val="687334072"/>
      </c:barChart>
      <c:catAx>
        <c:axId val="588727832"/>
        <c:scaling>
          <c:orientation val="minMax"/>
        </c:scaling>
        <c:axPos val="l"/>
        <c:majorGridlines/>
        <c:numFmt formatCode="@" sourceLinked="0"/>
        <c:majorTickMark val="none"/>
        <c:tickLblPos val="low"/>
        <c:txPr>
          <a:bodyPr/>
          <a:lstStyle/>
          <a:p>
            <a:pPr>
              <a:defRPr>
                <a:latin typeface="Times New Roman" pitchFamily="18" charset="0"/>
                <a:cs typeface="Times New Roman" pitchFamily="18" charset="0"/>
              </a:defRPr>
            </a:pPr>
            <a:endParaRPr lang="en-US"/>
          </a:p>
        </c:txPr>
        <c:crossAx val="687334072"/>
        <c:crosses val="autoZero"/>
        <c:lblAlgn val="ctr"/>
        <c:lblOffset val="100"/>
      </c:catAx>
      <c:valAx>
        <c:axId val="687334072"/>
        <c:scaling>
          <c:orientation val="minMax"/>
        </c:scaling>
        <c:axPos val="b"/>
        <c:numFmt formatCode="0%" sourceLinked="1"/>
        <c:tickLblPos val="nextTo"/>
        <c:spPr>
          <a:ln w="9525">
            <a:noFill/>
          </a:ln>
        </c:spPr>
        <c:txPr>
          <a:bodyPr/>
          <a:lstStyle/>
          <a:p>
            <a:pPr>
              <a:defRPr>
                <a:latin typeface="Times New Roman" pitchFamily="18" charset="0"/>
                <a:cs typeface="Times New Roman" pitchFamily="18" charset="0"/>
              </a:defRPr>
            </a:pPr>
            <a:endParaRPr lang="en-US"/>
          </a:p>
        </c:txPr>
        <c:crossAx val="588727832"/>
        <c:crosses val="autoZero"/>
        <c:crossBetween val="between"/>
      </c:valAx>
      <c:spPr>
        <a:ln>
          <a:solidFill>
            <a:schemeClr val="accent1"/>
          </a:solidFill>
        </a:ln>
      </c:spPr>
    </c:plotArea>
    <c:legend>
      <c:legendPos val="t"/>
      <c:layout>
        <c:manualLayout>
          <c:xMode val="edge"/>
          <c:yMode val="edge"/>
          <c:x val="0.104142131967427"/>
          <c:y val="0.873621765021308"/>
          <c:w val="0.880665085133594"/>
          <c:h val="0.0880021448931787"/>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61219544526632"/>
          <c:y val="0.0508474576271188"/>
          <c:w val="0.814685012858246"/>
          <c:h val="0.760115068397907"/>
        </c:manualLayout>
      </c:layout>
      <c:lineChart>
        <c:grouping val="standard"/>
        <c:ser>
          <c:idx val="0"/>
          <c:order val="0"/>
          <c:tx>
            <c:v>Baseline</c:v>
          </c:tx>
          <c:spPr>
            <a:ln w="25400" cap="flat" cmpd="sng" algn="ctr">
              <a:solidFill>
                <a:schemeClr val="dk1"/>
              </a:solidFill>
              <a:prstDash val="dash"/>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Potential'!$F$112:$Z$112</c:f>
              <c:numCache>
                <c:formatCode>General</c:formatCode>
                <c:ptCount val="21"/>
                <c:pt idx="0">
                  <c:v>2200.758095499469</c:v>
                </c:pt>
                <c:pt idx="1">
                  <c:v>2268.049601137515</c:v>
                </c:pt>
                <c:pt idx="2">
                  <c:v>2306.680128625257</c:v>
                </c:pt>
                <c:pt idx="3">
                  <c:v>2266.726197331851</c:v>
                </c:pt>
                <c:pt idx="4">
                  <c:v>2303.444969555214</c:v>
                </c:pt>
                <c:pt idx="5">
                  <c:v>2278.290552002617</c:v>
                </c:pt>
                <c:pt idx="6">
                  <c:v>2337.549085385949</c:v>
                </c:pt>
                <c:pt idx="7">
                  <c:v>2373.520413397002</c:v>
                </c:pt>
                <c:pt idx="8">
                  <c:v>2350.724868480908</c:v>
                </c:pt>
                <c:pt idx="9">
                  <c:v>2402.879093687602</c:v>
                </c:pt>
                <c:pt idx="10">
                  <c:v>2395.588598181329</c:v>
                </c:pt>
                <c:pt idx="11">
                  <c:v>2330.721415071765</c:v>
                </c:pt>
                <c:pt idx="12">
                  <c:v>2361.865282880095</c:v>
                </c:pt>
                <c:pt idx="13">
                  <c:v>2390.219918180351</c:v>
                </c:pt>
                <c:pt idx="14">
                  <c:v>2417.102240003859</c:v>
                </c:pt>
                <c:pt idx="15">
                  <c:v>2425.856556954813</c:v>
                </c:pt>
                <c:pt idx="16">
                  <c:v>2463.00309957453</c:v>
                </c:pt>
                <c:pt idx="17">
                  <c:v>2486.147711657944</c:v>
                </c:pt>
                <c:pt idx="18">
                  <c:v>2515.30864423553</c:v>
                </c:pt>
                <c:pt idx="19">
                  <c:v>2544.215369689666</c:v>
                </c:pt>
                <c:pt idx="20">
                  <c:v>2566.651857676085</c:v>
                </c:pt>
              </c:numCache>
            </c:numRef>
          </c:val>
        </c:ser>
        <c:ser>
          <c:idx val="1"/>
          <c:order val="1"/>
          <c:tx>
            <c:v>Residential</c:v>
          </c:tx>
          <c:spPr>
            <a:ln w="25400" cap="flat" cmpd="sng" algn="ctr">
              <a:solidFill>
                <a:schemeClr val="accent1"/>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Potential'!$F$116:$Z$116</c:f>
              <c:numCache>
                <c:formatCode>General</c:formatCode>
                <c:ptCount val="21"/>
                <c:pt idx="0">
                  <c:v>2197.920134629712</c:v>
                </c:pt>
                <c:pt idx="1">
                  <c:v>2263.8945621855</c:v>
                </c:pt>
                <c:pt idx="2">
                  <c:v>2301.100684941326</c:v>
                </c:pt>
                <c:pt idx="3">
                  <c:v>2259.359578936868</c:v>
                </c:pt>
                <c:pt idx="4">
                  <c:v>2291.779021439875</c:v>
                </c:pt>
                <c:pt idx="5">
                  <c:v>2260.795882100724</c:v>
                </c:pt>
                <c:pt idx="6">
                  <c:v>2314.622415164064</c:v>
                </c:pt>
                <c:pt idx="7">
                  <c:v>2345.627487436557</c:v>
                </c:pt>
                <c:pt idx="8">
                  <c:v>2318.151482350994</c:v>
                </c:pt>
                <c:pt idx="9">
                  <c:v>2365.877213812665</c:v>
                </c:pt>
                <c:pt idx="10">
                  <c:v>2354.091494588128</c:v>
                </c:pt>
                <c:pt idx="11">
                  <c:v>2284.733764744331</c:v>
                </c:pt>
                <c:pt idx="12">
                  <c:v>2311.209756264142</c:v>
                </c:pt>
                <c:pt idx="13">
                  <c:v>2335.728259706649</c:v>
                </c:pt>
                <c:pt idx="14">
                  <c:v>2359.353526148192</c:v>
                </c:pt>
                <c:pt idx="15">
                  <c:v>2364.763883532086</c:v>
                </c:pt>
                <c:pt idx="16">
                  <c:v>2398.882246787477</c:v>
                </c:pt>
                <c:pt idx="17">
                  <c:v>2419.581203078754</c:v>
                </c:pt>
                <c:pt idx="18">
                  <c:v>2446.689220563945</c:v>
                </c:pt>
                <c:pt idx="19">
                  <c:v>2473.977602325352</c:v>
                </c:pt>
                <c:pt idx="20">
                  <c:v>2494.591574363691</c:v>
                </c:pt>
              </c:numCache>
            </c:numRef>
          </c:val>
        </c:ser>
        <c:ser>
          <c:idx val="2"/>
          <c:order val="2"/>
          <c:tx>
            <c:v>Commercial</c:v>
          </c:tx>
          <c:spPr>
            <a:ln w="25400" cap="flat" cmpd="sng" algn="ctr">
              <a:solidFill>
                <a:schemeClr val="accent2"/>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Potential'!$F$117:$Z$117</c:f>
              <c:numCache>
                <c:formatCode>General</c:formatCode>
                <c:ptCount val="21"/>
                <c:pt idx="0">
                  <c:v>2190.908050121399</c:v>
                </c:pt>
                <c:pt idx="1">
                  <c:v>2253.20503785872</c:v>
                </c:pt>
                <c:pt idx="2">
                  <c:v>2286.784235042135</c:v>
                </c:pt>
                <c:pt idx="3">
                  <c:v>2241.043497853782</c:v>
                </c:pt>
                <c:pt idx="4">
                  <c:v>2269.43450044601</c:v>
                </c:pt>
                <c:pt idx="5">
                  <c:v>2233.032546152004</c:v>
                </c:pt>
                <c:pt idx="6">
                  <c:v>2282.042390670282</c:v>
                </c:pt>
                <c:pt idx="7">
                  <c:v>2308.414068758477</c:v>
                </c:pt>
                <c:pt idx="8">
                  <c:v>2276.682582586875</c:v>
                </c:pt>
                <c:pt idx="9">
                  <c:v>2320.419579788472</c:v>
                </c:pt>
                <c:pt idx="10">
                  <c:v>2304.569061628843</c:v>
                </c:pt>
                <c:pt idx="11">
                  <c:v>2231.004709480392</c:v>
                </c:pt>
                <c:pt idx="12">
                  <c:v>2253.25636066472</c:v>
                </c:pt>
                <c:pt idx="13">
                  <c:v>2273.766187320985</c:v>
                </c:pt>
                <c:pt idx="14">
                  <c:v>2293.366653121176</c:v>
                </c:pt>
                <c:pt idx="15">
                  <c:v>2294.520267681166</c:v>
                </c:pt>
                <c:pt idx="16">
                  <c:v>2324.411833120081</c:v>
                </c:pt>
                <c:pt idx="17">
                  <c:v>2341.222686612294</c:v>
                </c:pt>
                <c:pt idx="18">
                  <c:v>2364.658297831097</c:v>
                </c:pt>
                <c:pt idx="19">
                  <c:v>2388.081717946702</c:v>
                </c:pt>
                <c:pt idx="20">
                  <c:v>2404.683011282891</c:v>
                </c:pt>
              </c:numCache>
            </c:numRef>
          </c:val>
        </c:ser>
        <c:ser>
          <c:idx val="3"/>
          <c:order val="3"/>
          <c:tx>
            <c:v>Industrial</c:v>
          </c:tx>
          <c:spPr>
            <a:ln w="25400" cap="flat" cmpd="sng" algn="ctr">
              <a:solidFill>
                <a:schemeClr val="accent3"/>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Potential'!$F$118:$Z$118</c:f>
              <c:numCache>
                <c:formatCode>General</c:formatCode>
                <c:ptCount val="21"/>
                <c:pt idx="0">
                  <c:v>2174.642451959676</c:v>
                </c:pt>
                <c:pt idx="1">
                  <c:v>2232.006201573858</c:v>
                </c:pt>
                <c:pt idx="2">
                  <c:v>2263.187682152219</c:v>
                </c:pt>
                <c:pt idx="3">
                  <c:v>2215.74250109377</c:v>
                </c:pt>
                <c:pt idx="4">
                  <c:v>2238.430990628748</c:v>
                </c:pt>
                <c:pt idx="5">
                  <c:v>2196.054147308754</c:v>
                </c:pt>
                <c:pt idx="6">
                  <c:v>2240.709087317894</c:v>
                </c:pt>
                <c:pt idx="7">
                  <c:v>2263.889834840207</c:v>
                </c:pt>
                <c:pt idx="8">
                  <c:v>2225.844992450646</c:v>
                </c:pt>
                <c:pt idx="9">
                  <c:v>2266.345236971108</c:v>
                </c:pt>
                <c:pt idx="10">
                  <c:v>2245.795722588507</c:v>
                </c:pt>
                <c:pt idx="11">
                  <c:v>2166.293068134985</c:v>
                </c:pt>
                <c:pt idx="12">
                  <c:v>2186.699919212686</c:v>
                </c:pt>
                <c:pt idx="13">
                  <c:v>2206.337598838798</c:v>
                </c:pt>
                <c:pt idx="14">
                  <c:v>2223.353346502288</c:v>
                </c:pt>
                <c:pt idx="15">
                  <c:v>2218.463774315201</c:v>
                </c:pt>
                <c:pt idx="16">
                  <c:v>2240.044787423241</c:v>
                </c:pt>
                <c:pt idx="17">
                  <c:v>2250.47322352683</c:v>
                </c:pt>
                <c:pt idx="18">
                  <c:v>2274.224257360645</c:v>
                </c:pt>
                <c:pt idx="19">
                  <c:v>2287.700426179855</c:v>
                </c:pt>
                <c:pt idx="20">
                  <c:v>2297.554916003135</c:v>
                </c:pt>
              </c:numCache>
            </c:numRef>
          </c:val>
        </c:ser>
        <c:marker val="1"/>
        <c:axId val="687845352"/>
        <c:axId val="687847736"/>
      </c:lineChart>
      <c:catAx>
        <c:axId val="687845352"/>
        <c:scaling>
          <c:orientation val="minMax"/>
        </c:scaling>
        <c:axPos val="b"/>
        <c:numFmt formatCode="General" sourceLinked="1"/>
        <c:tickLblPos val="nextTo"/>
        <c:crossAx val="687847736"/>
        <c:crosses val="autoZero"/>
        <c:auto val="1"/>
        <c:lblAlgn val="ctr"/>
        <c:lblOffset val="10"/>
        <c:tickLblSkip val="5"/>
      </c:catAx>
      <c:valAx>
        <c:axId val="687847736"/>
        <c:scaling>
          <c:orientation val="minMax"/>
          <c:max val="2600.0"/>
          <c:min val="2100.0"/>
        </c:scaling>
        <c:axPos val="l"/>
        <c:majorGridlines/>
        <c:title>
          <c:tx>
            <c:rich>
              <a:bodyPr rot="-5400000" vert="horz"/>
              <a:lstStyle/>
              <a:p>
                <a:pPr>
                  <a:defRPr/>
                </a:pPr>
                <a:r>
                  <a:rPr lang="en-US"/>
                  <a:t>Total Energy Consumption</a:t>
                </a:r>
              </a:p>
              <a:p>
                <a:pPr>
                  <a:defRPr/>
                </a:pPr>
                <a:r>
                  <a:rPr lang="en-US"/>
                  <a:t>All Sectors</a:t>
                </a:r>
                <a:r>
                  <a:rPr lang="en-US" baseline="0"/>
                  <a:t> (TBtu)</a:t>
                </a:r>
                <a:endParaRPr lang="en-US"/>
              </a:p>
            </c:rich>
          </c:tx>
          <c:layout>
            <c:manualLayout>
              <c:xMode val="edge"/>
              <c:yMode val="edge"/>
              <c:x val="0.000646040457064079"/>
              <c:y val="0.18597417044724"/>
            </c:manualLayout>
          </c:layout>
        </c:title>
        <c:numFmt formatCode="#,##0" sourceLinked="0"/>
        <c:majorTickMark val="none"/>
        <c:tickLblPos val="nextTo"/>
        <c:spPr>
          <a:ln w="9525">
            <a:noFill/>
          </a:ln>
        </c:spPr>
        <c:crossAx val="687845352"/>
        <c:crosses val="autoZero"/>
        <c:crossBetween val="between"/>
        <c:majorUnit val="100.0"/>
      </c:valAx>
    </c:plotArea>
    <c:legend>
      <c:legendPos val="b"/>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26349518810149"/>
          <c:y val="0.0559146252551771"/>
          <c:w val="0.843094925634306"/>
          <c:h val="0.648462338434111"/>
        </c:manualLayout>
      </c:layout>
      <c:barChart>
        <c:barDir val="col"/>
        <c:grouping val="stacked"/>
        <c:ser>
          <c:idx val="0"/>
          <c:order val="0"/>
          <c:tx>
            <c:v>Consumption with Policy Packages</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5'!$E$55,'Figure 5'!$F$55,'Figure 5'!$E$57,'Figure 5'!$F$57,'Figure 5'!$E$59,'Figure 5'!$F$59)</c:f>
              <c:numCache>
                <c:formatCode>General</c:formatCode>
                <c:ptCount val="6"/>
                <c:pt idx="0">
                  <c:v>378.2197854528866</c:v>
                </c:pt>
                <c:pt idx="1">
                  <c:v>416.2994116589481</c:v>
                </c:pt>
                <c:pt idx="2">
                  <c:v>595.5828027249229</c:v>
                </c:pt>
                <c:pt idx="3">
                  <c:v>599.6809057591996</c:v>
                </c:pt>
                <c:pt idx="4">
                  <c:v>504.627260704856</c:v>
                </c:pt>
                <c:pt idx="5">
                  <c:v>562.678560692618</c:v>
                </c:pt>
              </c:numCache>
            </c:numRef>
          </c:val>
        </c:ser>
        <c:ser>
          <c:idx val="1"/>
          <c:order val="1"/>
          <c:tx>
            <c:v>Savings Potential from Baseline</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5'!$E$56,'Figure 5'!$F$56,'Figure 5'!$E$58,'Figure 5'!$F$58,'Figure 5'!$E$60,'Figure 5'!$F$60)</c:f>
              <c:numCache>
                <c:formatCode>General</c:formatCode>
                <c:ptCount val="6"/>
                <c:pt idx="0">
                  <c:v>49.52243295923501</c:v>
                </c:pt>
                <c:pt idx="1">
                  <c:v>89.90856308079986</c:v>
                </c:pt>
                <c:pt idx="2">
                  <c:v>63.46070396999188</c:v>
                </c:pt>
                <c:pt idx="3">
                  <c:v>96.73629609217948</c:v>
                </c:pt>
                <c:pt idx="4">
                  <c:v>41.49710359322309</c:v>
                </c:pt>
                <c:pt idx="5">
                  <c:v>72.0602833123736</c:v>
                </c:pt>
              </c:numCache>
            </c:numRef>
          </c:val>
        </c:ser>
        <c:gapWidth val="60"/>
        <c:overlap val="100"/>
        <c:axId val="533121544"/>
        <c:axId val="533124600"/>
      </c:barChart>
      <c:catAx>
        <c:axId val="533121544"/>
        <c:scaling>
          <c:orientation val="minMax"/>
        </c:scaling>
        <c:axPos val="b"/>
        <c:numFmt formatCode="General" sourceLinked="1"/>
        <c:majorTickMark val="none"/>
        <c:tickLblPos val="nextTo"/>
        <c:crossAx val="533124600"/>
        <c:crosses val="autoZero"/>
        <c:auto val="1"/>
        <c:lblAlgn val="ctr"/>
        <c:lblOffset val="10"/>
      </c:catAx>
      <c:valAx>
        <c:axId val="533124600"/>
        <c:scaling>
          <c:orientation val="minMax"/>
        </c:scaling>
        <c:axPos val="l"/>
        <c:majorGridlines/>
        <c:title>
          <c:tx>
            <c:rich>
              <a:bodyPr rot="-5400000" vert="horz"/>
              <a:lstStyle/>
              <a:p>
                <a:pPr>
                  <a:defRPr/>
                </a:pPr>
                <a:r>
                  <a:rPr lang="en-US"/>
                  <a:t>Consumption</a:t>
                </a:r>
                <a:r>
                  <a:rPr lang="en-US" baseline="0"/>
                  <a:t> (TBtu)</a:t>
                </a:r>
                <a:endParaRPr lang="en-US"/>
              </a:p>
            </c:rich>
          </c:tx>
        </c:title>
        <c:numFmt formatCode="General" sourceLinked="1"/>
        <c:majorTickMark val="none"/>
        <c:tickLblPos val="nextTo"/>
        <c:spPr>
          <a:ln w="9525">
            <a:noFill/>
          </a:ln>
        </c:spPr>
        <c:crossAx val="533121544"/>
        <c:crosses val="autoZero"/>
        <c:crossBetween val="between"/>
      </c:valAx>
    </c:plotArea>
    <c:legend>
      <c:legendPos val="b"/>
      <c:layout>
        <c:manualLayout>
          <c:xMode val="edge"/>
          <c:yMode val="edge"/>
          <c:x val="0.096534703995334"/>
          <c:y val="0.893307086614174"/>
          <c:w val="0.806930409740449"/>
          <c:h val="0.106692913385827"/>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228161889684621"/>
          <c:y val="0.0509259259259259"/>
          <c:w val="0.708290041663648"/>
          <c:h val="0.678027437291989"/>
        </c:manualLayout>
      </c:layout>
      <c:lineChart>
        <c:grouping val="standard"/>
        <c:ser>
          <c:idx val="0"/>
          <c:order val="0"/>
          <c:tx>
            <c:strRef>
              <c:f>'ESC STATES - Savings'!$C$468</c:f>
              <c:strCache>
                <c:ptCount val="1"/>
                <c:pt idx="0">
                  <c:v>Baseline Forecast</c:v>
                </c:pt>
              </c:strCache>
            </c:strRef>
          </c:tx>
          <c:marker>
            <c:symbol val="none"/>
          </c:marker>
          <c:cat>
            <c:numRef>
              <c:f>'ESC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'ESC STATES - Savings'!$G$468:$AA$468</c:f>
              <c:numCache>
                <c:formatCode>General</c:formatCode>
                <c:ptCount val="21"/>
                <c:pt idx="0">
                  <c:v>392.1071626222297</c:v>
                </c:pt>
                <c:pt idx="1">
                  <c:v>389.0389807484241</c:v>
                </c:pt>
                <c:pt idx="2">
                  <c:v>391.1413467895823</c:v>
                </c:pt>
                <c:pt idx="3">
                  <c:v>389.2958262118103</c:v>
                </c:pt>
                <c:pt idx="4">
                  <c:v>391.1339858891247</c:v>
                </c:pt>
                <c:pt idx="5">
                  <c:v>393.7677533824082</c:v>
                </c:pt>
                <c:pt idx="6">
                  <c:v>397.62004737347</c:v>
                </c:pt>
                <c:pt idx="7">
                  <c:v>399.555499802416</c:v>
                </c:pt>
                <c:pt idx="8">
                  <c:v>402.3272960583139</c:v>
                </c:pt>
                <c:pt idx="9">
                  <c:v>405.5589407491213</c:v>
                </c:pt>
                <c:pt idx="10">
                  <c:v>409.1262514788762</c:v>
                </c:pt>
                <c:pt idx="11">
                  <c:v>411.2373505026938</c:v>
                </c:pt>
                <c:pt idx="12">
                  <c:v>415.0434286586631</c:v>
                </c:pt>
                <c:pt idx="13">
                  <c:v>419.2363000214021</c:v>
                </c:pt>
                <c:pt idx="14">
                  <c:v>424.267830347545</c:v>
                </c:pt>
                <c:pt idx="15">
                  <c:v>427.5757688120911</c:v>
                </c:pt>
                <c:pt idx="16">
                  <c:v>431.3734673377293</c:v>
                </c:pt>
                <c:pt idx="17">
                  <c:v>434.7681565548901</c:v>
                </c:pt>
                <c:pt idx="18">
                  <c:v>438.3607159129736</c:v>
                </c:pt>
                <c:pt idx="19">
                  <c:v>439.6217644558496</c:v>
                </c:pt>
                <c:pt idx="20">
                  <c:v>442.0441877059</c:v>
                </c:pt>
              </c:numCache>
            </c:numRef>
          </c:val>
        </c:ser>
        <c:ser>
          <c:idx val="1"/>
          <c:order val="1"/>
          <c:tx>
            <c:strRef>
              <c:f>'ESC STATES - Savings'!$C$469</c:f>
              <c:strCache>
                <c:ptCount val="1"/>
                <c:pt idx="0">
                  <c:v>Energy Efficiency Scenario</c:v>
                </c:pt>
              </c:strCache>
            </c:strRef>
          </c:tx>
          <c:marker>
            <c:symbol val="none"/>
          </c:marker>
          <c:cat>
            <c:numRef>
              <c:f>'ESC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'ESC STATES - Savings'!$G$469:$AA$469</c:f>
              <c:numCache>
                <c:formatCode>General</c:formatCode>
                <c:ptCount val="21"/>
                <c:pt idx="0">
                  <c:v>389.6298214233948</c:v>
                </c:pt>
                <c:pt idx="1">
                  <c:v>385.2341672584616</c:v>
                </c:pt>
                <c:pt idx="2">
                  <c:v>385.6502352436007</c:v>
                </c:pt>
                <c:pt idx="3">
                  <c:v>381.9715824917866</c:v>
                </c:pt>
                <c:pt idx="4">
                  <c:v>380.1854627458107</c:v>
                </c:pt>
                <c:pt idx="5">
                  <c:v>377.9657761622271</c:v>
                </c:pt>
                <c:pt idx="6">
                  <c:v>377.2984230528587</c:v>
                </c:pt>
                <c:pt idx="7">
                  <c:v>375.2040291750497</c:v>
                </c:pt>
                <c:pt idx="8">
                  <c:v>374.328823607349</c:v>
                </c:pt>
                <c:pt idx="9">
                  <c:v>374.1114362852319</c:v>
                </c:pt>
                <c:pt idx="10">
                  <c:v>374.2269700248346</c:v>
                </c:pt>
                <c:pt idx="11">
                  <c:v>373.0148635729771</c:v>
                </c:pt>
                <c:pt idx="12">
                  <c:v>373.2998167044604</c:v>
                </c:pt>
                <c:pt idx="13">
                  <c:v>374.6034907098393</c:v>
                </c:pt>
                <c:pt idx="14">
                  <c:v>377.216677320419</c:v>
                </c:pt>
                <c:pt idx="15">
                  <c:v>378.0748013368278</c:v>
                </c:pt>
                <c:pt idx="16">
                  <c:v>379.592005317062</c:v>
                </c:pt>
                <c:pt idx="17">
                  <c:v>381.142171501799</c:v>
                </c:pt>
                <c:pt idx="18">
                  <c:v>383.1684129327856</c:v>
                </c:pt>
                <c:pt idx="19">
                  <c:v>383.1612540386137</c:v>
                </c:pt>
                <c:pt idx="20">
                  <c:v>384.2430009956435</c:v>
                </c:pt>
              </c:numCache>
            </c:numRef>
          </c:val>
        </c:ser>
        <c:marker val="1"/>
        <c:axId val="588360888"/>
        <c:axId val="588477832"/>
      </c:lineChart>
      <c:catAx>
        <c:axId val="588360888"/>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588477832"/>
        <c:crosses val="autoZero"/>
        <c:auto val="1"/>
        <c:lblAlgn val="ctr"/>
        <c:lblOffset val="100"/>
        <c:tickLblSkip val="5"/>
        <c:tickMarkSkip val="5"/>
      </c:catAx>
      <c:valAx>
        <c:axId val="588477832"/>
        <c:scaling>
          <c:orientation val="minMax"/>
          <c:max val="550.0"/>
          <c:min val="300.0"/>
        </c:scaling>
        <c:axPos val="l"/>
        <c:majorGridlines/>
        <c:title>
          <c:tx>
            <c:rich>
              <a:bodyPr rot="-5400000" vert="horz"/>
              <a:lstStyle/>
              <a:p>
                <a:pPr>
                  <a:defRPr/>
                </a:pPr>
                <a:r>
                  <a:rPr lang="en-US">
                    <a:latin typeface="Times New Roman" pitchFamily="18" charset="0"/>
                    <a:cs typeface="Times New Roman" pitchFamily="18" charset="0"/>
                  </a:rPr>
                  <a:t>Consumption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88360888"/>
        <c:crosses val="autoZero"/>
        <c:crossBetween val="between"/>
        <c:majorUnit val="50.0"/>
      </c:valAx>
    </c:plotArea>
    <c:legend>
      <c:legendPos val="b"/>
      <c:layout>
        <c:manualLayout>
          <c:xMode val="edge"/>
          <c:yMode val="edge"/>
          <c:x val="0.0"/>
          <c:y val="0.863757918814365"/>
          <c:w val="0.997560675285952"/>
          <c:h val="0.108464566929134"/>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12499486130843"/>
          <c:y val="0.0549714538001723"/>
          <c:w val="0.741185983505802"/>
          <c:h val="0.662112057421394"/>
        </c:manualLayout>
      </c:layout>
      <c:barChart>
        <c:barDir val="col"/>
        <c:grouping val="stacked"/>
        <c:ser>
          <c:idx val="0"/>
          <c:order val="0"/>
          <c:tx>
            <c:strRef>
              <c:f>'ESC STATES - Savings'!$D$435</c:f>
              <c:strCache>
                <c:ptCount val="1"/>
                <c:pt idx="0">
                  <c:v>Electricity</c:v>
                </c:pt>
              </c:strCache>
            </c:strRef>
          </c:tx>
          <c:cat>
            <c:numRef>
              <c:f>('ESC STATES - Savings'!$Q$4,'ESC STATES - Savings'!$AA$4)</c:f>
              <c:numCache>
                <c:formatCode>General</c:formatCode>
                <c:ptCount val="2"/>
                <c:pt idx="0">
                  <c:v>2020.0</c:v>
                </c:pt>
                <c:pt idx="1">
                  <c:v>2030.0</c:v>
                </c:pt>
              </c:numCache>
            </c:numRef>
          </c:cat>
          <c:val>
            <c:numRef>
              <c:f>('ESC STATES - Savings'!$R$435,'ESC STATES - Savings'!$AB$435)</c:f>
              <c:numCache>
                <c:formatCode>General</c:formatCode>
                <c:ptCount val="2"/>
                <c:pt idx="0">
                  <c:v>40.59940451115907</c:v>
                </c:pt>
                <c:pt idx="1">
                  <c:v>72.34954709449366</c:v>
                </c:pt>
              </c:numCache>
            </c:numRef>
          </c:val>
        </c:ser>
        <c:ser>
          <c:idx val="2"/>
          <c:order val="1"/>
          <c:tx>
            <c:strRef>
              <c:f>'ESC STATES - Savings'!$D$438</c:f>
              <c:strCache>
                <c:ptCount val="1"/>
                <c:pt idx="0">
                  <c:v>Natural Gas</c:v>
                </c:pt>
              </c:strCache>
            </c:strRef>
          </c:tx>
          <c:cat>
            <c:numRef>
              <c:f>('ESC STATES - Savings'!$Q$4,'ESC STATES - Savings'!$AA$4)</c:f>
              <c:numCache>
                <c:formatCode>General</c:formatCode>
                <c:ptCount val="2"/>
                <c:pt idx="0">
                  <c:v>2020.0</c:v>
                </c:pt>
                <c:pt idx="1">
                  <c:v>2030.0</c:v>
                </c:pt>
              </c:numCache>
            </c:numRef>
          </c:cat>
          <c:val>
            <c:numRef>
              <c:f>('ESC STATES - Savings'!$Q$438,'ESC STATES - Savings'!$AA$438)</c:f>
              <c:numCache>
                <c:formatCode>General</c:formatCode>
                <c:ptCount val="2"/>
                <c:pt idx="0">
                  <c:v>2.064137715948743</c:v>
                </c:pt>
                <c:pt idx="1">
                  <c:v>3.709912711677281</c:v>
                </c:pt>
              </c:numCache>
            </c:numRef>
          </c:val>
        </c:ser>
        <c:ser>
          <c:idx val="3"/>
          <c:order val="2"/>
          <c:tx>
            <c:strRef>
              <c:f>'ESC STATES - Savings'!$D$439</c:f>
              <c:strCache>
                <c:ptCount val="1"/>
                <c:pt idx="0">
                  <c:v>Other</c:v>
                </c:pt>
              </c:strCache>
            </c:strRef>
          </c:tx>
          <c:spPr>
            <a:solidFill>
              <a:srgbClr val="C0504D"/>
            </a:solidFill>
          </c:spPr>
          <c:cat>
            <c:numRef>
              <c:f>('ESC STATES - Savings'!$Q$4,'ESC STATES - Savings'!$AA$4)</c:f>
              <c:numCache>
                <c:formatCode>General</c:formatCode>
                <c:ptCount val="2"/>
                <c:pt idx="0">
                  <c:v>2020.0</c:v>
                </c:pt>
                <c:pt idx="1">
                  <c:v>2030.0</c:v>
                </c:pt>
              </c:numCache>
            </c:numRef>
          </c:cat>
          <c:val>
            <c:numRef>
              <c:f>('ESC STATES - Savings'!$Q$440,'ESC STATES - Savings'!$AA$440)</c:f>
              <c:numCache>
                <c:formatCode>General</c:formatCode>
                <c:ptCount val="2"/>
                <c:pt idx="0">
                  <c:v>-1.166438633884455</c:v>
                </c:pt>
                <c:pt idx="1">
                  <c:v>-3.999176493798337</c:v>
                </c:pt>
              </c:numCache>
            </c:numRef>
          </c:val>
        </c:ser>
        <c:gapWidth val="75"/>
        <c:overlap val="100"/>
        <c:axId val="551375496"/>
        <c:axId val="533460360"/>
      </c:barChart>
      <c:catAx>
        <c:axId val="551375496"/>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533460360"/>
        <c:crosses val="autoZero"/>
        <c:auto val="1"/>
        <c:lblAlgn val="ctr"/>
        <c:lblOffset val="100"/>
      </c:catAx>
      <c:valAx>
        <c:axId val="533460360"/>
        <c:scaling>
          <c:orientation val="minMax"/>
          <c:max val="125.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51375496"/>
        <c:crosses val="autoZero"/>
        <c:crossBetween val="between"/>
        <c:majorUnit val="25.0"/>
      </c:valAx>
    </c:plotArea>
    <c:legend>
      <c:legendPos val="b"/>
      <c:layout>
        <c:manualLayout>
          <c:xMode val="edge"/>
          <c:yMode val="edge"/>
          <c:x val="0.148885963387069"/>
          <c:y val="0.858293582867359"/>
          <c:w val="0.719052732044862"/>
          <c:h val="0.103059044272359"/>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217470837369799"/>
          <c:y val="0.0555555555555554"/>
          <c:w val="0.711825656709617"/>
          <c:h val="0.672333815415931"/>
        </c:manualLayout>
      </c:layout>
      <c:lineChart>
        <c:grouping val="standard"/>
        <c:ser>
          <c:idx val="0"/>
          <c:order val="0"/>
          <c:tx>
            <c:strRef>
              <c:f>'ESC STATES - Savings'!$C$480</c:f>
              <c:strCache>
                <c:ptCount val="1"/>
                <c:pt idx="0">
                  <c:v>Baseline Forecast</c:v>
                </c:pt>
              </c:strCache>
            </c:strRef>
          </c:tx>
          <c:marker>
            <c:symbol val="none"/>
          </c:marker>
          <c:cat>
            <c:numRef>
              <c:f>'ESC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'ESC STATES - Savings'!$G$480:$AA$480</c:f>
              <c:numCache>
                <c:formatCode>General</c:formatCode>
                <c:ptCount val="21"/>
                <c:pt idx="0">
                  <c:v>365.8215800274563</c:v>
                </c:pt>
                <c:pt idx="1">
                  <c:v>370.05249310378</c:v>
                </c:pt>
                <c:pt idx="2">
                  <c:v>374.7035089963687</c:v>
                </c:pt>
                <c:pt idx="3">
                  <c:v>380.3498246619374</c:v>
                </c:pt>
                <c:pt idx="4">
                  <c:v>386.9449175382697</c:v>
                </c:pt>
                <c:pt idx="5">
                  <c:v>394.1352421211207</c:v>
                </c:pt>
                <c:pt idx="6">
                  <c:v>401.2689948010357</c:v>
                </c:pt>
                <c:pt idx="7">
                  <c:v>407.9787134616531</c:v>
                </c:pt>
                <c:pt idx="8">
                  <c:v>414.5377969490868</c:v>
                </c:pt>
                <c:pt idx="9">
                  <c:v>421.1768321485614</c:v>
                </c:pt>
                <c:pt idx="10">
                  <c:v>427.742218412122</c:v>
                </c:pt>
                <c:pt idx="11">
                  <c:v>434.7986036276615</c:v>
                </c:pt>
                <c:pt idx="12">
                  <c:v>442.4134374769869</c:v>
                </c:pt>
                <c:pt idx="13">
                  <c:v>450.519984205402</c:v>
                </c:pt>
                <c:pt idx="14">
                  <c:v>458.5862344729464</c:v>
                </c:pt>
                <c:pt idx="15">
                  <c:v>467.1236456571756</c:v>
                </c:pt>
                <c:pt idx="16">
                  <c:v>475.2824871958797</c:v>
                </c:pt>
                <c:pt idx="17">
                  <c:v>483.2830459405852</c:v>
                </c:pt>
                <c:pt idx="18">
                  <c:v>490.9036384910063</c:v>
                </c:pt>
                <c:pt idx="19">
                  <c:v>498.4041711027785</c:v>
                </c:pt>
                <c:pt idx="20">
                  <c:v>506.2079747397493</c:v>
                </c:pt>
              </c:numCache>
            </c:numRef>
          </c:val>
        </c:ser>
        <c:ser>
          <c:idx val="1"/>
          <c:order val="1"/>
          <c:tx>
            <c:strRef>
              <c:f>'ESC STATES - Savings'!$C$481</c:f>
              <c:strCache>
                <c:ptCount val="1"/>
                <c:pt idx="0">
                  <c:v>Energy Efficiency Scenario</c:v>
                </c:pt>
              </c:strCache>
            </c:strRef>
          </c:tx>
          <c:marker>
            <c:symbol val="none"/>
          </c:marker>
          <c:cat>
            <c:numRef>
              <c:f>'ESC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'ESC STATES - Savings'!$G$481:$AA$481</c:f>
              <c:numCache>
                <c:formatCode>General</c:formatCode>
                <c:ptCount val="21"/>
                <c:pt idx="0">
                  <c:v>358.8094955191443</c:v>
                </c:pt>
                <c:pt idx="1">
                  <c:v>359.3629687770183</c:v>
                </c:pt>
                <c:pt idx="2">
                  <c:v>360.387059097175</c:v>
                </c:pt>
                <c:pt idx="3">
                  <c:v>362.033743578869</c:v>
                </c:pt>
                <c:pt idx="4">
                  <c:v>364.6003965444073</c:v>
                </c:pt>
                <c:pt idx="5">
                  <c:v>366.371906172401</c:v>
                </c:pt>
                <c:pt idx="6">
                  <c:v>368.6889703072252</c:v>
                </c:pt>
                <c:pt idx="7">
                  <c:v>370.7652947835813</c:v>
                </c:pt>
                <c:pt idx="8">
                  <c:v>373.068897184974</c:v>
                </c:pt>
                <c:pt idx="9">
                  <c:v>375.7191981243892</c:v>
                </c:pt>
                <c:pt idx="10">
                  <c:v>378.219785452887</c:v>
                </c:pt>
                <c:pt idx="11">
                  <c:v>381.0695483637243</c:v>
                </c:pt>
                <c:pt idx="12">
                  <c:v>384.4600418775937</c:v>
                </c:pt>
                <c:pt idx="13">
                  <c:v>388.5579118197243</c:v>
                </c:pt>
                <c:pt idx="14">
                  <c:v>392.5993614459661</c:v>
                </c:pt>
                <c:pt idx="15">
                  <c:v>396.8800298062557</c:v>
                </c:pt>
                <c:pt idx="16">
                  <c:v>400.8120735284833</c:v>
                </c:pt>
                <c:pt idx="17">
                  <c:v>404.924529474132</c:v>
                </c:pt>
                <c:pt idx="18">
                  <c:v>408.8727157581566</c:v>
                </c:pt>
                <c:pt idx="19">
                  <c:v>412.5082867241287</c:v>
                </c:pt>
                <c:pt idx="20">
                  <c:v>416.2994116589481</c:v>
                </c:pt>
              </c:numCache>
            </c:numRef>
          </c:val>
        </c:ser>
        <c:marker val="1"/>
        <c:axId val="533353160"/>
        <c:axId val="533356520"/>
      </c:lineChart>
      <c:catAx>
        <c:axId val="533353160"/>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533356520"/>
        <c:crosses val="autoZero"/>
        <c:auto val="1"/>
        <c:lblAlgn val="ctr"/>
        <c:lblOffset val="100"/>
        <c:tickLblSkip val="5"/>
        <c:tickMarkSkip val="5"/>
      </c:catAx>
      <c:valAx>
        <c:axId val="533356520"/>
        <c:scaling>
          <c:orientation val="minMax"/>
          <c:max val="550.0"/>
          <c:min val="300.0"/>
        </c:scaling>
        <c:axPos val="l"/>
        <c:majorGridlines/>
        <c:title>
          <c:tx>
            <c:rich>
              <a:bodyPr rot="-5400000" vert="horz"/>
              <a:lstStyle/>
              <a:p>
                <a:pPr>
                  <a:defRPr/>
                </a:pPr>
                <a:r>
                  <a:rPr lang="en-US">
                    <a:latin typeface="Times New Roman" pitchFamily="18" charset="0"/>
                    <a:cs typeface="Times New Roman" pitchFamily="18" charset="0"/>
                  </a:rPr>
                  <a:t>Consumption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33353160"/>
        <c:crosses val="autoZero"/>
        <c:crossBetween val="between"/>
        <c:majorUnit val="50.0"/>
      </c:valAx>
    </c:plotArea>
    <c:legend>
      <c:legendPos val="b"/>
      <c:layout>
        <c:manualLayout>
          <c:xMode val="edge"/>
          <c:yMode val="edge"/>
          <c:x val="0.0"/>
          <c:y val="0.85449839603384"/>
          <c:w val="0.99564703089713"/>
          <c:h val="0.117723826188393"/>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33551545386914"/>
          <c:y val="0.0542114790963719"/>
          <c:w val="0.720133924249718"/>
          <c:h val="0.679739417188238"/>
        </c:manualLayout>
      </c:layout>
      <c:barChart>
        <c:barDir val="col"/>
        <c:grouping val="stacked"/>
        <c:ser>
          <c:idx val="0"/>
          <c:order val="0"/>
          <c:tx>
            <c:strRef>
              <c:f>'ESC STATES - Savings'!$D$352</c:f>
              <c:strCache>
                <c:ptCount val="1"/>
                <c:pt idx="0">
                  <c:v>Electricity</c:v>
                </c:pt>
              </c:strCache>
            </c:strRef>
          </c:tx>
          <c:cat>
            <c:numRef>
              <c:f>('SA STATES - Savings'!$Q$4,'SA STATES - Savings'!$AA$4)</c:f>
              <c:numCache>
                <c:formatCode>General</c:formatCode>
                <c:ptCount val="2"/>
                <c:pt idx="0">
                  <c:v>2020.0</c:v>
                </c:pt>
                <c:pt idx="1">
                  <c:v>2030.0</c:v>
                </c:pt>
              </c:numCache>
            </c:numRef>
          </c:cat>
          <c:val>
            <c:numRef>
              <c:f>('ESC STATES - Savings'!$R$352,'ESC STATES - Savings'!$AB$352)</c:f>
              <c:numCache>
                <c:formatCode>General</c:formatCode>
                <c:ptCount val="2"/>
                <c:pt idx="0">
                  <c:v>44.12381769165374</c:v>
                </c:pt>
                <c:pt idx="1">
                  <c:v>80.58908449012114</c:v>
                </c:pt>
              </c:numCache>
            </c:numRef>
          </c:val>
        </c:ser>
        <c:ser>
          <c:idx val="2"/>
          <c:order val="1"/>
          <c:tx>
            <c:strRef>
              <c:f>'ESC STATES - Savings'!$D$354</c:f>
              <c:strCache>
                <c:ptCount val="1"/>
                <c:pt idx="0">
                  <c:v>Natural Gas</c:v>
                </c:pt>
              </c:strCache>
            </c:strRef>
          </c:tx>
          <c:val>
            <c:numRef>
              <c:f>('ESC STATES - Savings'!$Q$354,'ESC STATES - Savings'!$AA$354)</c:f>
              <c:numCache>
                <c:formatCode>General</c:formatCode>
                <c:ptCount val="2"/>
                <c:pt idx="0">
                  <c:v>4.8131431904357</c:v>
                </c:pt>
                <c:pt idx="1">
                  <c:v>8.413405046738622</c:v>
                </c:pt>
              </c:numCache>
            </c:numRef>
          </c:val>
        </c:ser>
        <c:ser>
          <c:idx val="3"/>
          <c:order val="2"/>
          <c:tx>
            <c:strRef>
              <c:f>'ESC STATES - Savings'!$D$355</c:f>
              <c:strCache>
                <c:ptCount val="1"/>
                <c:pt idx="0">
                  <c:v>Others</c:v>
                </c:pt>
              </c:strCache>
            </c:strRef>
          </c:tx>
          <c:spPr>
            <a:solidFill>
              <a:srgbClr val="C0504D"/>
            </a:solidFill>
          </c:spPr>
          <c:val>
            <c:numRef>
              <c:f>('ESC STATES - Savings'!$Q$356,'ESC STATES - Savings'!$AA$356)</c:f>
              <c:numCache>
                <c:formatCode>General</c:formatCode>
                <c:ptCount val="2"/>
                <c:pt idx="0">
                  <c:v>0.585472077145572</c:v>
                </c:pt>
                <c:pt idx="1">
                  <c:v>0.906073543940113</c:v>
                </c:pt>
              </c:numCache>
            </c:numRef>
          </c:val>
        </c:ser>
        <c:gapWidth val="75"/>
        <c:overlap val="100"/>
        <c:axId val="550587784"/>
        <c:axId val="550591064"/>
      </c:barChart>
      <c:catAx>
        <c:axId val="550587784"/>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550591064"/>
        <c:crosses val="autoZero"/>
        <c:auto val="1"/>
        <c:lblAlgn val="ctr"/>
        <c:lblOffset val="100"/>
      </c:catAx>
      <c:valAx>
        <c:axId val="550591064"/>
        <c:scaling>
          <c:orientation val="minMax"/>
          <c:max val="125.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50587784"/>
        <c:crosses val="autoZero"/>
        <c:crossBetween val="between"/>
        <c:majorUnit val="25.0"/>
      </c:valAx>
    </c:plotArea>
    <c:legend>
      <c:legendPos val="b"/>
      <c:layout>
        <c:manualLayout>
          <c:xMode val="edge"/>
          <c:yMode val="edge"/>
          <c:x val="0.126441581165993"/>
          <c:y val="0.821983153268632"/>
          <c:w val="0.738698997852546"/>
          <c:h val="0.17801684673137"/>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2.jpeg"/></Relationships>
</file>

<file path=word/drawings/_rels/drawing2.xml.rels><?xml version="1.0" encoding="UTF-8" standalone="yes"?>
<Relationships xmlns="http://schemas.openxmlformats.org/package/2006/relationships"><Relationship Id="rId1" Type="http://schemas.openxmlformats.org/officeDocument/2006/relationships/image" Target="../media/image3.emf"/><Relationship Id="rId2" Type="http://schemas.openxmlformats.org/officeDocument/2006/relationships/image" Target="../media/image4.emf"/><Relationship Id="rId3" Type="http://schemas.openxmlformats.org/officeDocument/2006/relationships/image" Target="../media/image5.emf"/></Relationships>
</file>

<file path=word/drawings/drawing1.xml><?xml version="1.0" encoding="utf-8"?>
<c:userShapes xmlns:c="http://schemas.openxmlformats.org/drawingml/2006/chart">
  <cdr:relSizeAnchor xmlns:cdr="http://schemas.openxmlformats.org/drawingml/2006/chartDrawing">
    <cdr:from>
      <cdr:x>0.15324</cdr:x>
      <cdr:y>0</cdr:y>
    </cdr:from>
    <cdr:to>
      <cdr:x>1</cdr:x>
      <cdr:y>0.84706</cdr:y>
    </cdr:to>
    <cdr:pic>
      <cdr:nvPicPr>
        <cdr:cNvPr id="2" name="Picture 1" descr="Tennessee1.jpg"/>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42950" y="0"/>
          <a:ext cx="4105275" cy="243662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0.48615</cdr:x>
      <cdr:y>0.51328</cdr:y>
    </cdr:from>
    <cdr:to>
      <cdr:x>0.62919</cdr:x>
      <cdr:y>0.71814</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67192" y="1036469"/>
          <a:ext cx="784775" cy="413673"/>
        </a:xfrm>
        <a:prstGeom xmlns:a="http://schemas.openxmlformats.org/drawingml/2006/main" prst="rect">
          <a:avLst/>
        </a:prstGeom>
      </cdr:spPr>
    </cdr:pic>
  </cdr:relSizeAnchor>
  <cdr:relSizeAnchor xmlns:cdr="http://schemas.openxmlformats.org/drawingml/2006/chartDrawing">
    <cdr:from>
      <cdr:x>0.19617</cdr:x>
      <cdr:y>0.54007</cdr:y>
    </cdr:from>
    <cdr:to>
      <cdr:x>0.33151</cdr:x>
      <cdr:y>0.71486</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076267" y="1090566"/>
          <a:ext cx="742529" cy="352953"/>
        </a:xfrm>
        <a:prstGeom xmlns:a="http://schemas.openxmlformats.org/drawingml/2006/main" prst="rect">
          <a:avLst/>
        </a:prstGeom>
      </cdr:spPr>
    </cdr:pic>
  </cdr:relSizeAnchor>
  <cdr:relSizeAnchor xmlns:cdr="http://schemas.openxmlformats.org/drawingml/2006/chartDrawing">
    <cdr:from>
      <cdr:x>0.76425</cdr:x>
      <cdr:y>0.56077</cdr:y>
    </cdr:from>
    <cdr:to>
      <cdr:x>0.89685</cdr:x>
      <cdr:y>0.74284</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4192981" y="1132357"/>
          <a:ext cx="727497" cy="367654"/>
        </a:xfrm>
        <a:prstGeom xmlns:a="http://schemas.openxmlformats.org/drawingml/2006/main" prst="rect">
          <a:avLst/>
        </a:prstGeom>
      </cdr:spPr>
    </cdr:pic>
  </cdr:relSizeAnchor>
  <cdr:relSizeAnchor xmlns:cdr="http://schemas.openxmlformats.org/drawingml/2006/chartDrawing">
    <cdr:from>
      <cdr:x>0.16784</cdr:x>
      <cdr:y>0.78333</cdr:y>
    </cdr:from>
    <cdr:to>
      <cdr:x>0.36015</cdr:x>
      <cdr:y>0.86702</cdr:y>
    </cdr:to>
    <cdr:sp macro="" textlink="">
      <cdr:nvSpPr>
        <cdr:cNvPr id="8" name="TextBox 7"/>
        <cdr:cNvSpPr txBox="1"/>
      </cdr:nvSpPr>
      <cdr:spPr>
        <a:xfrm xmlns:a="http://schemas.openxmlformats.org/drawingml/2006/main">
          <a:off x="920859" y="1522089"/>
          <a:ext cx="1055089" cy="1626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a:latin typeface="Times New Roman" pitchFamily="18" charset="0"/>
              <a:cs typeface="Times New Roman" pitchFamily="18" charset="0"/>
            </a:rPr>
            <a:t>Commercial</a:t>
          </a:r>
        </a:p>
      </cdr:txBody>
    </cdr:sp>
  </cdr:relSizeAnchor>
  <cdr:relSizeAnchor xmlns:cdr="http://schemas.openxmlformats.org/drawingml/2006/chartDrawing">
    <cdr:from>
      <cdr:x>0.73601</cdr:x>
      <cdr:y>0.78388</cdr:y>
    </cdr:from>
    <cdr:to>
      <cdr:x>0.92832</cdr:x>
      <cdr:y>0.89706</cdr:y>
    </cdr:to>
    <cdr:sp macro="" textlink="">
      <cdr:nvSpPr>
        <cdr:cNvPr id="10" name="TextBox 1"/>
        <cdr:cNvSpPr txBox="1"/>
      </cdr:nvSpPr>
      <cdr:spPr>
        <a:xfrm xmlns:a="http://schemas.openxmlformats.org/drawingml/2006/main">
          <a:off x="4038045" y="1523157"/>
          <a:ext cx="1055090" cy="2199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itchFamily="18" charset="0"/>
              <a:cs typeface="Times New Roman" pitchFamily="18" charset="0"/>
            </a:rPr>
            <a:t>Residential</a:t>
          </a:r>
        </a:p>
      </cdr:txBody>
    </cdr:sp>
  </cdr:relSizeAnchor>
  <cdr:relSizeAnchor xmlns:cdr="http://schemas.openxmlformats.org/drawingml/2006/chartDrawing">
    <cdr:from>
      <cdr:x>0.4528</cdr:x>
      <cdr:y>0.78357</cdr:y>
    </cdr:from>
    <cdr:to>
      <cdr:x>0.6451</cdr:x>
      <cdr:y>0.88036</cdr:y>
    </cdr:to>
    <cdr:sp macro="" textlink="">
      <cdr:nvSpPr>
        <cdr:cNvPr id="11" name="TextBox 1"/>
        <cdr:cNvSpPr txBox="1"/>
      </cdr:nvSpPr>
      <cdr:spPr>
        <a:xfrm xmlns:a="http://schemas.openxmlformats.org/drawingml/2006/main">
          <a:off x="2484242" y="1522563"/>
          <a:ext cx="1055035" cy="18807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itchFamily="18" charset="0"/>
              <a:cs typeface="Times New Roman" pitchFamily="18" charset="0"/>
            </a:rPr>
            <a:t>Industrial</a:t>
          </a:r>
        </a:p>
      </cdr:txBody>
    </cdr:sp>
  </cdr:relSizeAnchor>
</c:userShapes>
</file>

<file path=word/drawings/drawing3.xml><?xml version="1.0" encoding="utf-8"?>
<c:userShapes xmlns:c="http://schemas.openxmlformats.org/drawingml/2006/chart">
  <cdr:relSizeAnchor xmlns:cdr="http://schemas.openxmlformats.org/drawingml/2006/chartDrawing">
    <cdr:from>
      <cdr:x>0.48231</cdr:x>
      <cdr:y>0.29858</cdr:y>
    </cdr:from>
    <cdr:to>
      <cdr:x>0.6657</cdr:x>
      <cdr:y>0.42846</cdr:y>
    </cdr:to>
    <cdr:sp macro="" textlink="">
      <cdr:nvSpPr>
        <cdr:cNvPr id="6" name="TextBox 1"/>
        <cdr:cNvSpPr txBox="1"/>
      </cdr:nvSpPr>
      <cdr:spPr>
        <a:xfrm xmlns:a="http://schemas.openxmlformats.org/drawingml/2006/main">
          <a:off x="1493041" y="551723"/>
          <a:ext cx="567707" cy="2399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8%</a:t>
          </a:r>
        </a:p>
      </cdr:txBody>
    </cdr:sp>
  </cdr:relSizeAnchor>
  <cdr:relSizeAnchor xmlns:cdr="http://schemas.openxmlformats.org/drawingml/2006/chartDrawing">
    <cdr:from>
      <cdr:x>0.80769</cdr:x>
      <cdr:y>0.21786</cdr:y>
    </cdr:from>
    <cdr:to>
      <cdr:x>1</cdr:x>
      <cdr:y>0.35212</cdr:y>
    </cdr:to>
    <cdr:sp macro="" textlink="">
      <cdr:nvSpPr>
        <cdr:cNvPr id="7" name="TextBox 1"/>
        <cdr:cNvSpPr txBox="1"/>
      </cdr:nvSpPr>
      <cdr:spPr>
        <a:xfrm xmlns:a="http://schemas.openxmlformats.org/drawingml/2006/main">
          <a:off x="2500305" y="402569"/>
          <a:ext cx="595320" cy="2480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11%</a:t>
          </a:r>
        </a:p>
      </cdr:txBody>
    </cdr:sp>
  </cdr:relSizeAnchor>
  <cdr:relSizeAnchor xmlns:cdr="http://schemas.openxmlformats.org/drawingml/2006/chartDrawing">
    <cdr:from>
      <cdr:x>0.5659</cdr:x>
      <cdr:y>0.43857</cdr:y>
    </cdr:from>
    <cdr:to>
      <cdr:x>0.56641</cdr:x>
      <cdr:y>0.5262</cdr:y>
    </cdr:to>
    <cdr:sp macro="" textlink="">
      <cdr:nvSpPr>
        <cdr:cNvPr id="11" name="Straight Arrow Connector 10"/>
        <cdr:cNvSpPr/>
      </cdr:nvSpPr>
      <cdr:spPr>
        <a:xfrm xmlns:a="http://schemas.openxmlformats.org/drawingml/2006/main" rot="5400000">
          <a:off x="1751806" y="810418"/>
          <a:ext cx="1589" cy="16192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0.90128</cdr:x>
      <cdr:y>0.34579</cdr:y>
    </cdr:from>
    <cdr:to>
      <cdr:x>0.90179</cdr:x>
      <cdr:y>0.49012</cdr:y>
    </cdr:to>
    <cdr:sp macro="" textlink="">
      <cdr:nvSpPr>
        <cdr:cNvPr id="15" name="Straight Arrow Connector 14"/>
        <cdr:cNvSpPr/>
      </cdr:nvSpPr>
      <cdr:spPr>
        <a:xfrm xmlns:a="http://schemas.openxmlformats.org/drawingml/2006/main" rot="5400000">
          <a:off x="2790031" y="638969"/>
          <a:ext cx="1588" cy="2667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0.49604</cdr:x>
      <cdr:y>0.22341</cdr:y>
    </cdr:from>
    <cdr:to>
      <cdr:x>0.68375</cdr:x>
      <cdr:y>0.33979</cdr:y>
    </cdr:to>
    <cdr:sp macro="" textlink="">
      <cdr:nvSpPr>
        <cdr:cNvPr id="6" name="TextBox 1"/>
        <cdr:cNvSpPr txBox="1"/>
      </cdr:nvSpPr>
      <cdr:spPr>
        <a:xfrm xmlns:a="http://schemas.openxmlformats.org/drawingml/2006/main">
          <a:off x="1502490" y="417086"/>
          <a:ext cx="568564" cy="2172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12%</a:t>
          </a:r>
        </a:p>
      </cdr:txBody>
    </cdr:sp>
  </cdr:relSizeAnchor>
  <cdr:relSizeAnchor xmlns:cdr="http://schemas.openxmlformats.org/drawingml/2006/chartDrawing">
    <cdr:from>
      <cdr:x>0.81102</cdr:x>
      <cdr:y>0.04917</cdr:y>
    </cdr:from>
    <cdr:to>
      <cdr:x>1</cdr:x>
      <cdr:y>0.16948</cdr:y>
    </cdr:to>
    <cdr:sp macro="" textlink="">
      <cdr:nvSpPr>
        <cdr:cNvPr id="7" name="TextBox 1"/>
        <cdr:cNvSpPr txBox="1"/>
      </cdr:nvSpPr>
      <cdr:spPr>
        <a:xfrm xmlns:a="http://schemas.openxmlformats.org/drawingml/2006/main">
          <a:off x="2456539" y="91794"/>
          <a:ext cx="572411" cy="2246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18%</a:t>
          </a:r>
        </a:p>
      </cdr:txBody>
    </cdr:sp>
  </cdr:relSizeAnchor>
  <cdr:relSizeAnchor xmlns:cdr="http://schemas.openxmlformats.org/drawingml/2006/chartDrawing">
    <cdr:from>
      <cdr:x>0.54691</cdr:x>
      <cdr:y>0.39838</cdr:y>
    </cdr:from>
    <cdr:to>
      <cdr:x>0.54743</cdr:x>
      <cdr:y>0.52083</cdr:y>
    </cdr:to>
    <cdr:sp macro="" textlink="">
      <cdr:nvSpPr>
        <cdr:cNvPr id="11" name="Straight Arrow Connector 10"/>
        <cdr:cNvSpPr/>
      </cdr:nvSpPr>
      <cdr:spPr>
        <a:xfrm xmlns:a="http://schemas.openxmlformats.org/drawingml/2006/main" rot="5400000">
          <a:off x="1656556" y="743744"/>
          <a:ext cx="1588" cy="2286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0.88994</cdr:x>
      <cdr:y>0.18878</cdr:y>
    </cdr:from>
    <cdr:to>
      <cdr:x>0.89308</cdr:x>
      <cdr:y>0.42857</cdr:y>
    </cdr:to>
    <cdr:sp macro="" textlink="">
      <cdr:nvSpPr>
        <cdr:cNvPr id="13" name="Straight Arrow Connector 12"/>
        <cdr:cNvSpPr/>
      </cdr:nvSpPr>
      <cdr:spPr>
        <a:xfrm xmlns:a="http://schemas.openxmlformats.org/drawingml/2006/main" rot="5400000">
          <a:off x="2476501" y="571500"/>
          <a:ext cx="447675" cy="9525"/>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0.48215</cdr:x>
      <cdr:y>0.2176</cdr:y>
    </cdr:from>
    <cdr:to>
      <cdr:x>0.67113</cdr:x>
      <cdr:y>0.33399</cdr:y>
    </cdr:to>
    <cdr:sp macro="" textlink="">
      <cdr:nvSpPr>
        <cdr:cNvPr id="6" name="TextBox 1"/>
        <cdr:cNvSpPr txBox="1"/>
      </cdr:nvSpPr>
      <cdr:spPr>
        <a:xfrm xmlns:a="http://schemas.openxmlformats.org/drawingml/2006/main">
          <a:off x="1520103" y="412461"/>
          <a:ext cx="595812" cy="2206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10%</a:t>
          </a:r>
        </a:p>
      </cdr:txBody>
    </cdr:sp>
  </cdr:relSizeAnchor>
  <cdr:relSizeAnchor xmlns:cdr="http://schemas.openxmlformats.org/drawingml/2006/chartDrawing">
    <cdr:from>
      <cdr:x>0.85801</cdr:x>
      <cdr:y>0.07538</cdr:y>
    </cdr:from>
    <cdr:to>
      <cdr:x>1</cdr:x>
      <cdr:y>0.21957</cdr:y>
    </cdr:to>
    <cdr:sp macro="" textlink="">
      <cdr:nvSpPr>
        <cdr:cNvPr id="7" name="TextBox 1"/>
        <cdr:cNvSpPr txBox="1"/>
      </cdr:nvSpPr>
      <cdr:spPr>
        <a:xfrm xmlns:a="http://schemas.openxmlformats.org/drawingml/2006/main">
          <a:off x="2705100" y="142875"/>
          <a:ext cx="447675" cy="2733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14%</a:t>
          </a:r>
        </a:p>
      </cdr:txBody>
    </cdr:sp>
  </cdr:relSizeAnchor>
  <cdr:relSizeAnchor xmlns:cdr="http://schemas.openxmlformats.org/drawingml/2006/chartDrawing">
    <cdr:from>
      <cdr:x>0.91213</cdr:x>
      <cdr:y>0.21147</cdr:y>
    </cdr:from>
    <cdr:to>
      <cdr:x>0.91264</cdr:x>
      <cdr:y>0.51298</cdr:y>
    </cdr:to>
    <cdr:sp macro="" textlink="">
      <cdr:nvSpPr>
        <cdr:cNvPr id="9" name="Straight Arrow Connector 8"/>
        <cdr:cNvSpPr/>
      </cdr:nvSpPr>
      <cdr:spPr>
        <a:xfrm xmlns:a="http://schemas.openxmlformats.org/drawingml/2006/main" rot="5400000">
          <a:off x="2590801" y="685800"/>
          <a:ext cx="571500" cy="1589"/>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0.56772</cdr:x>
      <cdr:y>0.38233</cdr:y>
    </cdr:from>
    <cdr:to>
      <cdr:x>0.56823</cdr:x>
      <cdr:y>0.53811</cdr:y>
    </cdr:to>
    <cdr:sp macro="" textlink="">
      <cdr:nvSpPr>
        <cdr:cNvPr id="11" name="Straight Arrow Connector 10"/>
        <cdr:cNvSpPr/>
      </cdr:nvSpPr>
      <cdr:spPr>
        <a:xfrm xmlns:a="http://schemas.openxmlformats.org/drawingml/2006/main" rot="5400000">
          <a:off x="1789906" y="724693"/>
          <a:ext cx="1589" cy="29527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B526A-188D-AE4D-8256-889A66FC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2347</Words>
  <Characters>13381</Characters>
  <Application>Microsoft Macintosh Word</Application>
  <DocSecurity>0</DocSecurity>
  <Lines>111</Lines>
  <Paragraphs>26</Paragraphs>
  <ScaleCrop>false</ScaleCrop>
  <HeadingPairs>
    <vt:vector size="2" baseType="variant">
      <vt:variant>
        <vt:lpstr>Title</vt:lpstr>
      </vt:variant>
      <vt:variant>
        <vt:i4>1</vt:i4>
      </vt:variant>
    </vt:vector>
  </HeadingPairs>
  <TitlesOfParts>
    <vt:vector size="1" baseType="lpstr">
      <vt:lpstr>STATE NAME</vt:lpstr>
    </vt:vector>
  </TitlesOfParts>
  <Company>BellSouth</Company>
  <LinksUpToDate>false</LinksUpToDate>
  <CharactersWithSpaces>16432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NAME</dc:title>
  <dc:creator>Joy</dc:creator>
  <cp:lastModifiedBy>Marilyn Brown</cp:lastModifiedBy>
  <cp:revision>2</cp:revision>
  <cp:lastPrinted>2010-04-06T13:44:00Z</cp:lastPrinted>
  <dcterms:created xsi:type="dcterms:W3CDTF">2010-04-13T13:17:00Z</dcterms:created>
  <dcterms:modified xsi:type="dcterms:W3CDTF">2010-04-13T13:17:00Z</dcterms:modified>
</cp:coreProperties>
</file>