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charts/chart4.xml" ContentType="application/vnd.openxmlformats-officedocument.drawingml.chart+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numbering.xml" ContentType="application/vnd.openxmlformats-officedocument.wordprocessingml.numbering+xml"/>
  <Override PartName="/word/charts/chart5.xml" ContentType="application/vnd.openxmlformats-officedocument.drawingml.chart+xml"/>
  <Override PartName="/word/footer2.xml" ContentType="application/vnd.openxmlformats-officedocument.wordprocessingml.footer+xml"/>
  <Override PartName="/word/drawings/drawing4.xml" ContentType="application/vnd.openxmlformats-officedocument.drawingml.chartshapes+xml"/>
  <Override PartName="/word/theme/theme1.xml" ContentType="application/vnd.openxmlformats-officedocument.theme+xml"/>
  <Override PartName="/word/charts/chart3.xml" ContentType="application/vnd.openxmlformats-officedocument.drawingml.chart+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0F" w:rsidRPr="00B43F02" w:rsidRDefault="00E646CD" w:rsidP="00600A0F">
      <w:r>
        <w:rPr>
          <w:noProof/>
          <w:lang w:eastAsia="en-US"/>
        </w:rPr>
        <w:drawing>
          <wp:anchor distT="0" distB="0" distL="114300" distR="114300" simplePos="0" relativeHeight="251659264"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p>
    <w:p w:rsidR="00600A0F" w:rsidRPr="00B43F02" w:rsidRDefault="00E646CD" w:rsidP="00600A0F">
      <w:r>
        <w:rPr>
          <w:noProof/>
          <w:lang w:eastAsia="en-US"/>
        </w:rPr>
        <w:drawing>
          <wp:anchor distT="0" distB="0" distL="114300" distR="114300" simplePos="0" relativeHeight="251660288"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600A0F" w:rsidRPr="00B43F02" w:rsidRDefault="00600A0F" w:rsidP="00600A0F"/>
    <w:p w:rsidR="00600A0F" w:rsidRPr="00B43F02" w:rsidRDefault="00600A0F" w:rsidP="00600A0F"/>
    <w:p w:rsidR="00600A0F" w:rsidRPr="00B43F02" w:rsidRDefault="00600A0F" w:rsidP="00600A0F"/>
    <w:p w:rsidR="00600A0F" w:rsidRPr="00B43F02" w:rsidRDefault="00600A0F" w:rsidP="00600A0F">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600A0F" w:rsidRPr="00B43F02" w:rsidRDefault="00600A0F" w:rsidP="00600A0F">
      <w:pPr>
        <w:spacing w:after="0"/>
        <w:jc w:val="center"/>
        <w:rPr>
          <w:rFonts w:ascii="Arial" w:hAnsi="Arial"/>
          <w:b/>
          <w:sz w:val="32"/>
          <w:szCs w:val="24"/>
        </w:rPr>
      </w:pPr>
      <w:r w:rsidRPr="00B43F02">
        <w:rPr>
          <w:rFonts w:ascii="Arial" w:hAnsi="Arial"/>
          <w:b/>
          <w:sz w:val="32"/>
          <w:szCs w:val="24"/>
        </w:rPr>
        <w:t>APPENDIX G</w:t>
      </w:r>
    </w:p>
    <w:p w:rsidR="00600A0F" w:rsidRPr="00B43F02" w:rsidRDefault="00600A0F" w:rsidP="00600A0F">
      <w:pPr>
        <w:spacing w:after="0"/>
        <w:jc w:val="center"/>
        <w:rPr>
          <w:rFonts w:ascii="Arial" w:hAnsi="Arial"/>
          <w:b/>
          <w:sz w:val="32"/>
          <w:szCs w:val="24"/>
        </w:rPr>
      </w:pPr>
    </w:p>
    <w:p w:rsidR="00600A0F" w:rsidRPr="00B43F02" w:rsidRDefault="00600A0F" w:rsidP="00600A0F">
      <w:pPr>
        <w:spacing w:after="0"/>
        <w:jc w:val="center"/>
        <w:rPr>
          <w:rFonts w:ascii="Arial" w:hAnsi="Arial"/>
          <w:b/>
          <w:sz w:val="32"/>
          <w:szCs w:val="24"/>
        </w:rPr>
      </w:pPr>
    </w:p>
    <w:p w:rsidR="00BC533D" w:rsidRDefault="00600A0F" w:rsidP="00600A0F">
      <w:pPr>
        <w:spacing w:after="0"/>
        <w:jc w:val="center"/>
        <w:rPr>
          <w:rFonts w:ascii="Arial" w:hAnsi="Arial"/>
          <w:b/>
          <w:sz w:val="32"/>
          <w:szCs w:val="24"/>
        </w:rPr>
      </w:pPr>
      <w:r w:rsidRPr="00B43F02">
        <w:rPr>
          <w:rFonts w:ascii="Arial" w:hAnsi="Arial"/>
          <w:b/>
          <w:sz w:val="32"/>
          <w:szCs w:val="24"/>
        </w:rPr>
        <w:t>STATE PROFILES OF ENERGY EFFICIENCY OPPORTUNITIES IN THE SOUTH</w:t>
      </w:r>
      <w:r w:rsidR="00BC533D">
        <w:rPr>
          <w:rFonts w:ascii="Arial" w:hAnsi="Arial"/>
          <w:b/>
          <w:sz w:val="32"/>
          <w:szCs w:val="24"/>
        </w:rPr>
        <w:t>:</w:t>
      </w:r>
    </w:p>
    <w:p w:rsidR="00600A0F" w:rsidRPr="00DB2407" w:rsidRDefault="00BC533D" w:rsidP="00BC533D">
      <w:pPr>
        <w:spacing w:after="0"/>
        <w:jc w:val="center"/>
        <w:rPr>
          <w:rFonts w:ascii="Arial" w:hAnsi="Arial"/>
          <w:b/>
          <w:sz w:val="32"/>
          <w:szCs w:val="24"/>
        </w:rPr>
      </w:pPr>
      <w:r w:rsidRPr="00DB2407">
        <w:rPr>
          <w:rFonts w:ascii="Arial" w:hAnsi="Arial"/>
          <w:b/>
          <w:sz w:val="32"/>
          <w:szCs w:val="24"/>
        </w:rPr>
        <w:t>NORTH CAROLINA</w:t>
      </w:r>
    </w:p>
    <w:p w:rsidR="00600A0F" w:rsidRPr="00B43F02" w:rsidRDefault="00600A0F" w:rsidP="00600A0F">
      <w:pPr>
        <w:rPr>
          <w:sz w:val="28"/>
        </w:rPr>
      </w:pPr>
    </w:p>
    <w:p w:rsidR="00600A0F" w:rsidRPr="00B43F02" w:rsidRDefault="00600A0F" w:rsidP="00600A0F">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600A0F" w:rsidRPr="00B43F02" w:rsidRDefault="00600A0F" w:rsidP="00600A0F">
      <w:pPr>
        <w:spacing w:after="0" w:line="360" w:lineRule="auto"/>
        <w:rPr>
          <w:rFonts w:ascii="Century Gothic" w:hAnsi="Century Gothic"/>
          <w:sz w:val="28"/>
        </w:rPr>
      </w:pPr>
    </w:p>
    <w:p w:rsidR="00600A0F" w:rsidRPr="00B43F02" w:rsidRDefault="00BC533D" w:rsidP="00600A0F">
      <w:pPr>
        <w:spacing w:after="0"/>
        <w:jc w:val="center"/>
        <w:rPr>
          <w:rFonts w:ascii="Century Gothic" w:hAnsi="Century Gothic"/>
          <w:sz w:val="28"/>
        </w:rPr>
      </w:pPr>
      <w:r>
        <w:rPr>
          <w:rFonts w:ascii="Century Gothic" w:hAnsi="Century Gothic"/>
          <w:sz w:val="28"/>
        </w:rPr>
        <w:t>April</w:t>
      </w:r>
      <w:r w:rsidR="00600A0F" w:rsidRPr="00B43F02">
        <w:rPr>
          <w:rFonts w:ascii="Century Gothic" w:hAnsi="Century Gothic"/>
          <w:sz w:val="28"/>
        </w:rPr>
        <w:t xml:space="preserve"> </w:t>
      </w:r>
      <w:r w:rsidR="00E87B43">
        <w:rPr>
          <w:rFonts w:ascii="Century Gothic" w:hAnsi="Century Gothic"/>
          <w:sz w:val="28"/>
        </w:rPr>
        <w:t xml:space="preserve">13, </w:t>
      </w:r>
      <w:r w:rsidR="00600A0F" w:rsidRPr="00B43F02">
        <w:rPr>
          <w:rFonts w:ascii="Century Gothic" w:hAnsi="Century Gothic"/>
          <w:sz w:val="28"/>
        </w:rPr>
        <w:t>2010</w:t>
      </w:r>
    </w:p>
    <w:p w:rsidR="00600A0F" w:rsidRPr="00B43F02" w:rsidRDefault="00600A0F" w:rsidP="00600A0F">
      <w:pPr>
        <w:pStyle w:val="TOC1"/>
        <w:jc w:val="center"/>
        <w:rPr>
          <w:rFonts w:ascii="Century Gothic" w:hAnsi="Century Gothic"/>
        </w:rPr>
      </w:pPr>
    </w:p>
    <w:p w:rsidR="00600A0F" w:rsidRPr="00B43F02" w:rsidRDefault="00600A0F" w:rsidP="00600A0F">
      <w:pPr>
        <w:jc w:val="center"/>
        <w:rPr>
          <w:noProof/>
        </w:rPr>
      </w:pPr>
    </w:p>
    <w:p w:rsidR="00600A0F" w:rsidRPr="00B43F02" w:rsidRDefault="00600A0F" w:rsidP="00600A0F">
      <w:pPr>
        <w:jc w:val="center"/>
        <w:rPr>
          <w:noProof/>
        </w:rPr>
      </w:pPr>
    </w:p>
    <w:p w:rsidR="00600A0F" w:rsidRPr="00B43F02" w:rsidRDefault="00600A0F" w:rsidP="00600A0F">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600A0F" w:rsidRPr="00B43F02" w:rsidRDefault="00600A0F" w:rsidP="00600A0F">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6350C8" w:rsidRPr="00C97F56" w:rsidRDefault="006350C8" w:rsidP="006350C8">
      <w:pPr>
        <w:spacing w:after="0"/>
        <w:jc w:val="center"/>
        <w:rPr>
          <w:rFonts w:ascii="Times" w:hAnsi="Times"/>
          <w:b/>
          <w:sz w:val="28"/>
          <w:szCs w:val="24"/>
        </w:rPr>
      </w:pPr>
      <w:r w:rsidRPr="00C97F56">
        <w:rPr>
          <w:rFonts w:ascii="Times" w:hAnsi="Times"/>
          <w:b/>
          <w:sz w:val="28"/>
          <w:szCs w:val="24"/>
        </w:rPr>
        <w:t>A Profile of Energy-Efficiency Opportunities in North Carolina</w:t>
      </w:r>
    </w:p>
    <w:p w:rsidR="00CB09C8" w:rsidRPr="00C97F56" w:rsidRDefault="00CB09C8" w:rsidP="006350C8">
      <w:pPr>
        <w:spacing w:after="0"/>
        <w:jc w:val="center"/>
        <w:rPr>
          <w:rFonts w:ascii="Times" w:hAnsi="Times"/>
          <w:sz w:val="24"/>
          <w:szCs w:val="24"/>
        </w:rPr>
      </w:pPr>
    </w:p>
    <w:p w:rsidR="006B0640" w:rsidRPr="00C97F56" w:rsidRDefault="000F2092" w:rsidP="00CA1AA0">
      <w:pPr>
        <w:spacing w:after="0"/>
        <w:rPr>
          <w:rFonts w:ascii="Times New Roman" w:hAnsi="Times New Roman"/>
          <w:sz w:val="24"/>
          <w:szCs w:val="24"/>
        </w:rPr>
      </w:pPr>
      <w:r w:rsidRPr="00C97F56">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C97F56">
        <w:rPr>
          <w:rFonts w:ascii="Times" w:hAnsi="Times"/>
          <w:sz w:val="24"/>
          <w:szCs w:val="24"/>
        </w:rPr>
        <w:t>policymakers are asking: “how much energy can be saved?”</w:t>
      </w:r>
      <w:r w:rsidR="009E1EE5" w:rsidRPr="00C97F56">
        <w:rPr>
          <w:rFonts w:ascii="Times" w:hAnsi="Times"/>
          <w:sz w:val="24"/>
          <w:szCs w:val="24"/>
        </w:rPr>
        <w:t xml:space="preserve"> </w:t>
      </w:r>
      <w:r w:rsidRPr="00C97F56">
        <w:rPr>
          <w:rFonts w:ascii="Times" w:hAnsi="Times"/>
          <w:sz w:val="24"/>
          <w:szCs w:val="24"/>
        </w:rPr>
        <w:t xml:space="preserve"> </w:t>
      </w:r>
      <w:r w:rsidR="00382C26" w:rsidRPr="00C97F56">
        <w:rPr>
          <w:rFonts w:ascii="Times New Roman" w:hAnsi="Times New Roman"/>
          <w:sz w:val="24"/>
          <w:szCs w:val="24"/>
        </w:rPr>
        <w:t>This profile addresses the opportunity for energy efficiency</w:t>
      </w:r>
      <w:r w:rsidR="00E0462E" w:rsidRPr="00C97F56">
        <w:rPr>
          <w:rFonts w:ascii="Times New Roman" w:hAnsi="Times New Roman"/>
          <w:sz w:val="24"/>
          <w:szCs w:val="24"/>
        </w:rPr>
        <w:t xml:space="preserve"> improvements</w:t>
      </w:r>
      <w:r w:rsidR="00382C26" w:rsidRPr="00C97F56">
        <w:rPr>
          <w:rFonts w:ascii="Times New Roman" w:hAnsi="Times New Roman"/>
          <w:sz w:val="24"/>
          <w:szCs w:val="24"/>
        </w:rPr>
        <w:t xml:space="preserve"> in the residential, commercial and industrial sectors of </w:t>
      </w:r>
      <w:r w:rsidR="00B75C14" w:rsidRPr="00C97F56">
        <w:rPr>
          <w:rFonts w:ascii="Times New Roman" w:hAnsi="Times New Roman"/>
          <w:sz w:val="24"/>
          <w:szCs w:val="24"/>
        </w:rPr>
        <w:t>North Carolina</w:t>
      </w:r>
      <w:r w:rsidR="00382C26" w:rsidRPr="00C97F56">
        <w:rPr>
          <w:rFonts w:ascii="Times New Roman" w:hAnsi="Times New Roman"/>
          <w:sz w:val="24"/>
          <w:szCs w:val="24"/>
        </w:rPr>
        <w:t xml:space="preserve">. </w:t>
      </w:r>
      <w:r w:rsidR="00D156F9" w:rsidRPr="00C97F56">
        <w:rPr>
          <w:rFonts w:ascii="Times New Roman" w:hAnsi="Times New Roman"/>
          <w:sz w:val="24"/>
          <w:szCs w:val="24"/>
        </w:rPr>
        <w:t xml:space="preserve"> </w:t>
      </w:r>
      <w:r w:rsidRPr="00C97F56">
        <w:rPr>
          <w:rFonts w:ascii="Times" w:hAnsi="Times"/>
          <w:sz w:val="24"/>
          <w:szCs w:val="24"/>
        </w:rPr>
        <w:t xml:space="preserve">It draws on the results of a study of </w:t>
      </w:r>
      <w:r w:rsidRPr="00C97F56">
        <w:rPr>
          <w:rFonts w:ascii="Times" w:hAnsi="Times"/>
          <w:i/>
          <w:sz w:val="24"/>
          <w:szCs w:val="24"/>
        </w:rPr>
        <w:t xml:space="preserve">Energy Efficiency in the South </w:t>
      </w:r>
      <w:r w:rsidRPr="00C97F56">
        <w:rPr>
          <w:rFonts w:ascii="Times" w:hAnsi="Times" w:cs="Arial"/>
          <w:sz w:val="24"/>
        </w:rPr>
        <w:t>conducted by a team of researchers at the Georgia Institute of Technology and Duke University</w:t>
      </w:r>
      <w:r w:rsidRPr="00C97F56">
        <w:rPr>
          <w:rFonts w:ascii="Times" w:hAnsi="Times"/>
          <w:i/>
          <w:sz w:val="24"/>
          <w:szCs w:val="24"/>
        </w:rPr>
        <w:t xml:space="preserve">. </w:t>
      </w:r>
      <w:r w:rsidRPr="00C97F56">
        <w:rPr>
          <w:rFonts w:ascii="Times" w:hAnsi="Times"/>
          <w:sz w:val="24"/>
          <w:szCs w:val="24"/>
        </w:rPr>
        <w:t xml:space="preserve"> The study</w:t>
      </w:r>
      <w:r w:rsidRPr="00C97F56">
        <w:rPr>
          <w:rFonts w:ascii="Times" w:hAnsi="Times"/>
          <w:i/>
          <w:sz w:val="24"/>
          <w:szCs w:val="24"/>
        </w:rPr>
        <w:t xml:space="preserve"> </w:t>
      </w:r>
      <w:r w:rsidRPr="00C97F56">
        <w:rPr>
          <w:rFonts w:ascii="Times" w:hAnsi="Times"/>
          <w:sz w:val="24"/>
          <w:szCs w:val="23"/>
        </w:rPr>
        <w:t xml:space="preserve">presents primary and in-depth research of the potential for energy-efficiency improvements, using a modeling approach based on the </w:t>
      </w:r>
      <w:r w:rsidR="00F27428">
        <w:rPr>
          <w:rFonts w:ascii="Times" w:hAnsi="Times"/>
          <w:sz w:val="24"/>
          <w:szCs w:val="23"/>
        </w:rPr>
        <w:t>SNUG-NEMS</w:t>
      </w:r>
      <w:r w:rsidRPr="00C97F56">
        <w:rPr>
          <w:rFonts w:ascii="Times" w:hAnsi="Times"/>
          <w:sz w:val="24"/>
          <w:szCs w:val="23"/>
        </w:rPr>
        <w:t xml:space="preserve"> (National Energy Modeling System</w:t>
      </w:r>
      <w:r w:rsidRPr="00C97F56">
        <w:rPr>
          <w:rFonts w:ascii="Times New Roman" w:hAnsi="Times New Roman"/>
          <w:sz w:val="24"/>
          <w:szCs w:val="23"/>
        </w:rPr>
        <w:t>).</w:t>
      </w:r>
      <w:r w:rsidRPr="00C97F56">
        <w:rPr>
          <w:rFonts w:ascii="Times New Roman" w:hAnsi="Times New Roman"/>
          <w:sz w:val="24"/>
          <w:szCs w:val="23"/>
          <w:vertAlign w:val="superscript"/>
        </w:rPr>
        <w:t>1</w:t>
      </w:r>
    </w:p>
    <w:p w:rsidR="006B0640" w:rsidRPr="00C97F56" w:rsidRDefault="006B0640" w:rsidP="00CA1AA0">
      <w:pPr>
        <w:spacing w:after="0"/>
        <w:rPr>
          <w:rFonts w:ascii="Times New Roman" w:hAnsi="Times New Roman"/>
          <w:sz w:val="24"/>
          <w:szCs w:val="24"/>
        </w:rPr>
      </w:pPr>
    </w:p>
    <w:p w:rsidR="00AF0B92" w:rsidRPr="00C97F56" w:rsidRDefault="002A50A7" w:rsidP="00CA1AA0">
      <w:pPr>
        <w:spacing w:after="0"/>
        <w:rPr>
          <w:rFonts w:ascii="Times" w:hAnsi="Times"/>
          <w:sz w:val="24"/>
          <w:szCs w:val="24"/>
        </w:rPr>
      </w:pPr>
      <w:r w:rsidRPr="00C97F56">
        <w:rPr>
          <w:rFonts w:ascii="Times" w:hAnsi="Times"/>
          <w:sz w:val="24"/>
          <w:szCs w:val="24"/>
        </w:rPr>
        <w:t>With a</w:t>
      </w:r>
      <w:r w:rsidR="007331E9" w:rsidRPr="00C97F56">
        <w:rPr>
          <w:rFonts w:ascii="Times" w:hAnsi="Times"/>
          <w:sz w:val="24"/>
          <w:szCs w:val="24"/>
        </w:rPr>
        <w:t xml:space="preserve"> population of </w:t>
      </w:r>
      <w:r w:rsidR="005A65D4" w:rsidRPr="00C97F56">
        <w:rPr>
          <w:rFonts w:ascii="Times" w:hAnsi="Times"/>
          <w:sz w:val="24"/>
          <w:szCs w:val="24"/>
        </w:rPr>
        <w:t>9.</w:t>
      </w:r>
      <w:r w:rsidR="00B75C14" w:rsidRPr="00C97F56">
        <w:rPr>
          <w:rFonts w:ascii="Times" w:hAnsi="Times"/>
          <w:sz w:val="24"/>
          <w:szCs w:val="24"/>
        </w:rPr>
        <w:t>2</w:t>
      </w:r>
      <w:r w:rsidR="00CC72EC" w:rsidRPr="00C97F56">
        <w:rPr>
          <w:rFonts w:ascii="Times" w:hAnsi="Times"/>
          <w:sz w:val="24"/>
          <w:szCs w:val="24"/>
        </w:rPr>
        <w:t xml:space="preserve"> million people</w:t>
      </w:r>
      <w:r w:rsidRPr="00C97F56">
        <w:rPr>
          <w:rFonts w:ascii="Times" w:hAnsi="Times"/>
          <w:sz w:val="24"/>
          <w:szCs w:val="24"/>
        </w:rPr>
        <w:t>,</w:t>
      </w:r>
      <w:r w:rsidR="00AF0B92" w:rsidRPr="00C97F56">
        <w:rPr>
          <w:rFonts w:ascii="Times New Roman" w:hAnsi="Times New Roman"/>
          <w:sz w:val="24"/>
          <w:szCs w:val="23"/>
          <w:vertAlign w:val="superscript"/>
        </w:rPr>
        <w:t>2</w:t>
      </w:r>
      <w:r w:rsidR="00CC72EC" w:rsidRPr="00C97F56">
        <w:rPr>
          <w:rFonts w:ascii="Times" w:hAnsi="Times"/>
          <w:sz w:val="24"/>
          <w:szCs w:val="24"/>
        </w:rPr>
        <w:t xml:space="preserve"> </w:t>
      </w:r>
      <w:r w:rsidR="00776373" w:rsidRPr="00C97F56">
        <w:rPr>
          <w:rFonts w:ascii="Times" w:hAnsi="Times"/>
          <w:sz w:val="24"/>
          <w:szCs w:val="24"/>
        </w:rPr>
        <w:t>the State</w:t>
      </w:r>
      <w:r w:rsidR="00E77C24" w:rsidRPr="00C97F56">
        <w:rPr>
          <w:rFonts w:ascii="Times" w:hAnsi="Times"/>
          <w:sz w:val="24"/>
          <w:szCs w:val="24"/>
        </w:rPr>
        <w:t xml:space="preserve"> represents </w:t>
      </w:r>
      <w:r w:rsidR="00D72235" w:rsidRPr="00C97F56">
        <w:rPr>
          <w:rFonts w:ascii="Times" w:hAnsi="Times"/>
          <w:sz w:val="24"/>
          <w:szCs w:val="24"/>
        </w:rPr>
        <w:t>about 3.</w:t>
      </w:r>
      <w:r w:rsidR="00B75C14" w:rsidRPr="00C97F56">
        <w:rPr>
          <w:rFonts w:ascii="Times" w:hAnsi="Times"/>
          <w:sz w:val="24"/>
          <w:szCs w:val="24"/>
        </w:rPr>
        <w:t>1</w:t>
      </w:r>
      <w:r w:rsidR="00D72235" w:rsidRPr="00C97F56">
        <w:rPr>
          <w:rFonts w:ascii="Times" w:hAnsi="Times"/>
          <w:sz w:val="24"/>
          <w:szCs w:val="24"/>
        </w:rPr>
        <w:t xml:space="preserve">% of </w:t>
      </w:r>
      <w:r w:rsidR="00E0462E" w:rsidRPr="00C97F56">
        <w:rPr>
          <w:rFonts w:ascii="Times" w:hAnsi="Times"/>
          <w:sz w:val="24"/>
          <w:szCs w:val="24"/>
        </w:rPr>
        <w:t xml:space="preserve">the </w:t>
      </w:r>
      <w:r w:rsidR="00D72235" w:rsidRPr="00C97F56">
        <w:rPr>
          <w:rFonts w:ascii="Times" w:hAnsi="Times"/>
          <w:sz w:val="24"/>
          <w:szCs w:val="24"/>
        </w:rPr>
        <w:t>U</w:t>
      </w:r>
      <w:r w:rsidRPr="00C97F56">
        <w:rPr>
          <w:rFonts w:ascii="Times" w:hAnsi="Times"/>
          <w:sz w:val="24"/>
          <w:szCs w:val="24"/>
        </w:rPr>
        <w:t>.</w:t>
      </w:r>
      <w:r w:rsidR="00D72235" w:rsidRPr="00C97F56">
        <w:rPr>
          <w:rFonts w:ascii="Times" w:hAnsi="Times"/>
          <w:sz w:val="24"/>
          <w:szCs w:val="24"/>
        </w:rPr>
        <w:t>S</w:t>
      </w:r>
      <w:r w:rsidRPr="00C97F56">
        <w:rPr>
          <w:rFonts w:ascii="Times" w:hAnsi="Times"/>
          <w:sz w:val="24"/>
          <w:szCs w:val="24"/>
        </w:rPr>
        <w:t>.</w:t>
      </w:r>
      <w:r w:rsidR="00D72235" w:rsidRPr="00C97F56">
        <w:rPr>
          <w:rFonts w:ascii="Times" w:hAnsi="Times"/>
          <w:sz w:val="24"/>
          <w:szCs w:val="24"/>
        </w:rPr>
        <w:t xml:space="preserve"> population,</w:t>
      </w:r>
      <w:r w:rsidR="00E77C24" w:rsidRPr="00C97F56">
        <w:rPr>
          <w:rFonts w:ascii="Times" w:hAnsi="Times"/>
          <w:sz w:val="24"/>
          <w:szCs w:val="24"/>
        </w:rPr>
        <w:t xml:space="preserve"> 2.9% of the nation’s </w:t>
      </w:r>
      <w:r w:rsidR="00454236">
        <w:rPr>
          <w:rFonts w:ascii="Times" w:hAnsi="Times"/>
          <w:sz w:val="24"/>
          <w:szCs w:val="24"/>
        </w:rPr>
        <w:t>Gross Domestic Product (</w:t>
      </w:r>
      <w:r w:rsidR="00AF7763" w:rsidRPr="00C97F56">
        <w:rPr>
          <w:rFonts w:ascii="Times" w:hAnsi="Times"/>
          <w:sz w:val="24"/>
          <w:szCs w:val="24"/>
        </w:rPr>
        <w:t>GDP</w:t>
      </w:r>
      <w:r w:rsidR="00454236">
        <w:rPr>
          <w:rFonts w:ascii="Times" w:hAnsi="Times"/>
          <w:sz w:val="24"/>
          <w:szCs w:val="24"/>
        </w:rPr>
        <w:t>)</w:t>
      </w:r>
      <w:r w:rsidR="00D72235" w:rsidRPr="00C97F56">
        <w:rPr>
          <w:rFonts w:ascii="Times" w:hAnsi="Times"/>
          <w:sz w:val="24"/>
          <w:szCs w:val="24"/>
        </w:rPr>
        <w:t xml:space="preserve">, and </w:t>
      </w:r>
      <w:r w:rsidR="00B75C14" w:rsidRPr="00C97F56">
        <w:rPr>
          <w:rFonts w:ascii="Times" w:hAnsi="Times"/>
          <w:sz w:val="24"/>
          <w:szCs w:val="24"/>
        </w:rPr>
        <w:t>2</w:t>
      </w:r>
      <w:r w:rsidR="0098516F" w:rsidRPr="00C97F56">
        <w:rPr>
          <w:rFonts w:ascii="Times" w:hAnsi="Times"/>
          <w:sz w:val="24"/>
          <w:szCs w:val="24"/>
        </w:rPr>
        <w:t>.</w:t>
      </w:r>
      <w:r w:rsidR="00B75C14" w:rsidRPr="00C97F56">
        <w:rPr>
          <w:rFonts w:ascii="Times" w:hAnsi="Times"/>
          <w:sz w:val="24"/>
          <w:szCs w:val="24"/>
        </w:rPr>
        <w:t>7</w:t>
      </w:r>
      <w:r w:rsidR="00D72235" w:rsidRPr="00C97F56">
        <w:rPr>
          <w:rFonts w:ascii="Times" w:hAnsi="Times"/>
          <w:sz w:val="24"/>
          <w:szCs w:val="24"/>
        </w:rPr>
        <w:t>% of U</w:t>
      </w:r>
      <w:r w:rsidRPr="00C97F56">
        <w:rPr>
          <w:rFonts w:ascii="Times" w:hAnsi="Times"/>
          <w:sz w:val="24"/>
          <w:szCs w:val="24"/>
        </w:rPr>
        <w:t>.</w:t>
      </w:r>
      <w:r w:rsidR="00D72235" w:rsidRPr="00C97F56">
        <w:rPr>
          <w:rFonts w:ascii="Times" w:hAnsi="Times"/>
          <w:sz w:val="24"/>
          <w:szCs w:val="24"/>
        </w:rPr>
        <w:t>S</w:t>
      </w:r>
      <w:r w:rsidRPr="00C97F56">
        <w:rPr>
          <w:rFonts w:ascii="Times" w:hAnsi="Times"/>
          <w:sz w:val="24"/>
          <w:szCs w:val="24"/>
        </w:rPr>
        <w:t>.</w:t>
      </w:r>
      <w:r w:rsidR="00D72235" w:rsidRPr="00C97F56">
        <w:rPr>
          <w:rFonts w:ascii="Times" w:hAnsi="Times"/>
          <w:sz w:val="24"/>
          <w:szCs w:val="24"/>
        </w:rPr>
        <w:t xml:space="preserve"> energy consumption</w:t>
      </w:r>
      <w:r w:rsidRPr="00C97F56">
        <w:rPr>
          <w:rFonts w:ascii="Times" w:hAnsi="Times"/>
          <w:sz w:val="24"/>
          <w:szCs w:val="24"/>
        </w:rPr>
        <w:t xml:space="preserve"> (Figure 1)</w:t>
      </w:r>
      <w:r w:rsidR="00E77C24" w:rsidRPr="00C97F56">
        <w:rPr>
          <w:rFonts w:ascii="Times" w:hAnsi="Times"/>
          <w:sz w:val="24"/>
          <w:szCs w:val="24"/>
        </w:rPr>
        <w:t>.</w:t>
      </w:r>
      <w:r w:rsidR="00AF0B92" w:rsidRPr="00C97F56">
        <w:rPr>
          <w:rFonts w:ascii="Times New Roman" w:hAnsi="Times New Roman"/>
          <w:sz w:val="24"/>
          <w:szCs w:val="23"/>
          <w:vertAlign w:val="superscript"/>
        </w:rPr>
        <w:t>3</w:t>
      </w:r>
      <w:r w:rsidR="00E77C24" w:rsidRPr="00C97F56">
        <w:rPr>
          <w:rFonts w:ascii="Times" w:hAnsi="Times"/>
          <w:sz w:val="24"/>
          <w:szCs w:val="24"/>
        </w:rPr>
        <w:t xml:space="preserve"> </w:t>
      </w:r>
      <w:r w:rsidR="006643E7" w:rsidRPr="00C97F56">
        <w:rPr>
          <w:rFonts w:ascii="Times" w:hAnsi="Times"/>
          <w:sz w:val="24"/>
          <w:szCs w:val="24"/>
        </w:rPr>
        <w:t xml:space="preserve"> </w:t>
      </w:r>
      <w:r w:rsidR="00AF0B92" w:rsidRPr="00C97F56">
        <w:rPr>
          <w:rFonts w:ascii="Times" w:hAnsi="Times"/>
          <w:sz w:val="24"/>
          <w:szCs w:val="24"/>
        </w:rPr>
        <w:t xml:space="preserve">Thus, compared to the rest of the nation, North Carolina has a </w:t>
      </w:r>
      <w:r w:rsidR="00EB41AD">
        <w:rPr>
          <w:rFonts w:ascii="Times" w:hAnsi="Times"/>
          <w:sz w:val="24"/>
          <w:szCs w:val="24"/>
        </w:rPr>
        <w:t xml:space="preserve">lower than </w:t>
      </w:r>
      <w:r w:rsidR="00AF0B92" w:rsidRPr="00C97F56">
        <w:rPr>
          <w:rFonts w:ascii="Times" w:hAnsi="Times"/>
          <w:sz w:val="24"/>
          <w:szCs w:val="24"/>
        </w:rPr>
        <w:t xml:space="preserve">average level of energy </w:t>
      </w:r>
      <w:r w:rsidR="00BC533D">
        <w:rPr>
          <w:rFonts w:ascii="Times" w:hAnsi="Times"/>
          <w:sz w:val="24"/>
          <w:szCs w:val="24"/>
        </w:rPr>
        <w:t>intensity</w:t>
      </w:r>
      <w:r w:rsidR="00AF0B92" w:rsidRPr="00C97F56">
        <w:rPr>
          <w:rFonts w:ascii="Times" w:hAnsi="Times"/>
          <w:sz w:val="24"/>
          <w:szCs w:val="24"/>
        </w:rPr>
        <w:t>.</w:t>
      </w:r>
      <w:r w:rsidR="00BC533D">
        <w:rPr>
          <w:rStyle w:val="FootnoteReference"/>
          <w:rFonts w:ascii="Times" w:hAnsi="Times"/>
          <w:sz w:val="24"/>
          <w:szCs w:val="24"/>
        </w:rPr>
        <w:footnoteReference w:customMarkFollows="1" w:id="1"/>
        <w:t>i</w:t>
      </w:r>
    </w:p>
    <w:p w:rsidR="00AF7763" w:rsidRPr="00C97F56" w:rsidRDefault="00AF7763" w:rsidP="00CA1AA0">
      <w:pPr>
        <w:spacing w:after="0"/>
        <w:rPr>
          <w:rFonts w:ascii="Times" w:hAnsi="Times"/>
          <w:sz w:val="24"/>
          <w:szCs w:val="24"/>
        </w:rPr>
      </w:pPr>
    </w:p>
    <w:p w:rsidR="00E8326B" w:rsidRPr="00C97F56" w:rsidRDefault="00B75C14" w:rsidP="007046CE">
      <w:pPr>
        <w:spacing w:after="0"/>
        <w:rPr>
          <w:rFonts w:ascii="Times" w:hAnsi="Times"/>
          <w:noProof/>
          <w:sz w:val="24"/>
          <w:szCs w:val="24"/>
          <w:lang w:eastAsia="en-US"/>
        </w:rPr>
      </w:pPr>
      <w:r w:rsidRPr="00C97F56">
        <w:rPr>
          <w:rFonts w:ascii="Times" w:hAnsi="Times"/>
          <w:noProof/>
          <w:sz w:val="24"/>
          <w:szCs w:val="24"/>
          <w:lang w:eastAsia="en-US"/>
        </w:rPr>
        <w:drawing>
          <wp:inline distT="0" distB="0" distL="0" distR="0">
            <wp:extent cx="5943600" cy="200025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1B94" w:rsidRPr="00C97F56" w:rsidRDefault="00FB1B94" w:rsidP="007046CE">
      <w:pPr>
        <w:spacing w:after="0"/>
        <w:jc w:val="center"/>
        <w:rPr>
          <w:rFonts w:ascii="Times" w:hAnsi="Times"/>
          <w:b/>
          <w:noProof/>
          <w:sz w:val="24"/>
          <w:szCs w:val="24"/>
        </w:rPr>
      </w:pPr>
      <w:r w:rsidRPr="00C97F56">
        <w:rPr>
          <w:rFonts w:ascii="Times" w:hAnsi="Times"/>
          <w:b/>
          <w:noProof/>
          <w:sz w:val="24"/>
          <w:szCs w:val="24"/>
        </w:rPr>
        <w:t>Figure 1: Energy Consumption</w:t>
      </w:r>
      <w:r w:rsidR="00B75C14" w:rsidRPr="00C97F56">
        <w:rPr>
          <w:rFonts w:ascii="Times" w:hAnsi="Times"/>
          <w:b/>
          <w:noProof/>
          <w:sz w:val="24"/>
          <w:szCs w:val="24"/>
        </w:rPr>
        <w:t xml:space="preserve"> in North Carolina</w:t>
      </w:r>
      <w:r w:rsidR="00BE3E4A" w:rsidRPr="00C97F56">
        <w:rPr>
          <w:rFonts w:ascii="Times" w:hAnsi="Times"/>
          <w:b/>
          <w:noProof/>
          <w:sz w:val="24"/>
          <w:szCs w:val="24"/>
        </w:rPr>
        <w:t>, the South, and the U.S.</w:t>
      </w:r>
      <w:r w:rsidR="00544F2D" w:rsidRPr="00C97F56">
        <w:rPr>
          <w:rFonts w:ascii="Times" w:hAnsi="Times"/>
          <w:b/>
          <w:noProof/>
          <w:sz w:val="24"/>
          <w:szCs w:val="24"/>
        </w:rPr>
        <w:t>,</w:t>
      </w:r>
      <w:r w:rsidRPr="00C97F56">
        <w:rPr>
          <w:rFonts w:ascii="Times" w:hAnsi="Times"/>
          <w:b/>
          <w:noProof/>
          <w:sz w:val="24"/>
          <w:szCs w:val="24"/>
        </w:rPr>
        <w:t xml:space="preserve"> </w:t>
      </w:r>
      <w:r w:rsidR="00544F2D" w:rsidRPr="00C97F56">
        <w:rPr>
          <w:rFonts w:ascii="Times" w:hAnsi="Times"/>
          <w:b/>
          <w:noProof/>
          <w:sz w:val="24"/>
          <w:szCs w:val="24"/>
        </w:rPr>
        <w:t>2007</w:t>
      </w:r>
      <w:r w:rsidR="007D44EF" w:rsidRPr="00C97F56">
        <w:rPr>
          <w:rFonts w:ascii="Times New Roman" w:hAnsi="Times New Roman"/>
          <w:sz w:val="24"/>
          <w:szCs w:val="23"/>
          <w:vertAlign w:val="superscript"/>
        </w:rPr>
        <w:t>3</w:t>
      </w:r>
    </w:p>
    <w:p w:rsidR="00AB0AAD" w:rsidRPr="00C97F56" w:rsidRDefault="00AB0AAD" w:rsidP="00AB0AAD">
      <w:pPr>
        <w:spacing w:after="0"/>
        <w:rPr>
          <w:rFonts w:ascii="Times" w:hAnsi="Times"/>
          <w:sz w:val="24"/>
          <w:szCs w:val="24"/>
        </w:rPr>
      </w:pPr>
    </w:p>
    <w:p w:rsidR="00AF0B92" w:rsidRPr="00C97F56" w:rsidRDefault="00AF0B92" w:rsidP="00AF0B92">
      <w:pPr>
        <w:spacing w:after="0"/>
        <w:rPr>
          <w:rFonts w:ascii="Times" w:hAnsi="Times"/>
          <w:sz w:val="24"/>
          <w:szCs w:val="24"/>
          <w:vertAlign w:val="superscript"/>
        </w:rPr>
      </w:pPr>
      <w:r w:rsidRPr="00C97F56">
        <w:rPr>
          <w:rFonts w:ascii="Times" w:hAnsi="Times"/>
          <w:sz w:val="24"/>
          <w:szCs w:val="24"/>
        </w:rPr>
        <w:t xml:space="preserve">North Carolina’s </w:t>
      </w:r>
      <w:r w:rsidR="00C97F56" w:rsidRPr="00C97F56">
        <w:rPr>
          <w:rFonts w:ascii="Times" w:hAnsi="Times"/>
          <w:sz w:val="24"/>
          <w:szCs w:val="24"/>
        </w:rPr>
        <w:t>use</w:t>
      </w:r>
      <w:r w:rsidRPr="00C97F56">
        <w:rPr>
          <w:rFonts w:ascii="Times" w:hAnsi="Times"/>
          <w:sz w:val="24"/>
          <w:szCs w:val="24"/>
        </w:rPr>
        <w:t xml:space="preserve"> of residential energy as a percentage of its overall energy </w:t>
      </w:r>
      <w:r w:rsidR="00C97F56" w:rsidRPr="00C97F56">
        <w:rPr>
          <w:rFonts w:ascii="Times" w:hAnsi="Times"/>
          <w:sz w:val="24"/>
          <w:szCs w:val="24"/>
        </w:rPr>
        <w:t>consumption</w:t>
      </w:r>
      <w:r w:rsidRPr="00C97F56">
        <w:rPr>
          <w:rFonts w:ascii="Times" w:hAnsi="Times"/>
          <w:sz w:val="24"/>
          <w:szCs w:val="24"/>
        </w:rPr>
        <w:t xml:space="preserve"> exceeds that of the nation and the rest of the South.  Alternatively, its industrial energy consumption is lower (Figure 2).  </w:t>
      </w:r>
      <w:r w:rsidR="006350C8" w:rsidRPr="00C97F56">
        <w:rPr>
          <w:rFonts w:ascii="Times" w:hAnsi="Times"/>
          <w:sz w:val="24"/>
          <w:szCs w:val="24"/>
        </w:rPr>
        <w:t>North Carolina’s per capita energy consumption is ranked 39</w:t>
      </w:r>
      <w:r w:rsidR="006350C8" w:rsidRPr="00C97F56">
        <w:rPr>
          <w:rFonts w:ascii="Times" w:hAnsi="Times"/>
          <w:sz w:val="24"/>
          <w:szCs w:val="24"/>
          <w:vertAlign w:val="superscript"/>
        </w:rPr>
        <w:t>th</w:t>
      </w:r>
      <w:r w:rsidR="006350C8" w:rsidRPr="00C97F56">
        <w:rPr>
          <w:rFonts w:ascii="Times" w:hAnsi="Times"/>
          <w:sz w:val="24"/>
          <w:szCs w:val="24"/>
        </w:rPr>
        <w:t xml:space="preserve"> nationally.</w:t>
      </w:r>
      <w:r w:rsidR="006350C8" w:rsidRPr="00C97F56">
        <w:rPr>
          <w:rFonts w:ascii="Times" w:hAnsi="Times"/>
          <w:sz w:val="24"/>
          <w:szCs w:val="24"/>
          <w:vertAlign w:val="superscript"/>
        </w:rPr>
        <w:t>3</w:t>
      </w:r>
    </w:p>
    <w:p w:rsidR="00AF0B92" w:rsidRPr="00C97F56" w:rsidRDefault="00AF0B92" w:rsidP="00AB0AAD">
      <w:pPr>
        <w:spacing w:after="0"/>
        <w:rPr>
          <w:rFonts w:ascii="Times" w:hAnsi="Times"/>
          <w:sz w:val="24"/>
          <w:szCs w:val="24"/>
        </w:rPr>
      </w:pPr>
    </w:p>
    <w:p w:rsidR="00417808" w:rsidRPr="00C97F56" w:rsidRDefault="00417808" w:rsidP="00AB0AAD">
      <w:pPr>
        <w:spacing w:after="0"/>
        <w:rPr>
          <w:rFonts w:ascii="Times" w:hAnsi="Times"/>
          <w:sz w:val="24"/>
          <w:szCs w:val="24"/>
        </w:rPr>
      </w:pPr>
      <w:r w:rsidRPr="00C97F56">
        <w:rPr>
          <w:rFonts w:ascii="Times" w:hAnsi="Times"/>
          <w:sz w:val="24"/>
          <w:szCs w:val="24"/>
        </w:rPr>
        <w:t xml:space="preserve">North Carolina consumes more coal and nuclear energy than other states in the South. </w:t>
      </w:r>
      <w:r w:rsidR="00C97F56">
        <w:rPr>
          <w:rFonts w:ascii="Times" w:hAnsi="Times"/>
          <w:sz w:val="24"/>
          <w:szCs w:val="24"/>
        </w:rPr>
        <w:t xml:space="preserve"> </w:t>
      </w:r>
      <w:r w:rsidRPr="00C97F56">
        <w:rPr>
          <w:rFonts w:ascii="Times" w:hAnsi="Times"/>
          <w:sz w:val="24"/>
          <w:szCs w:val="24"/>
        </w:rPr>
        <w:t>However, it consumes relatively less natural gas (Figure 3).  The State produces its electricity largely from coal (60%), but it also is a leader in electricity produced from nuclear power.  Hydroelectric power also supplies about 3% of the electricity consumed within the State.</w:t>
      </w:r>
      <w:r w:rsidRPr="00C97F56">
        <w:rPr>
          <w:rFonts w:ascii="Times" w:hAnsi="Times"/>
          <w:sz w:val="24"/>
          <w:szCs w:val="24"/>
          <w:vertAlign w:val="superscript"/>
        </w:rPr>
        <w:t>4</w:t>
      </w:r>
      <w:r w:rsidR="006350C8" w:rsidRPr="00C97F56">
        <w:rPr>
          <w:rFonts w:ascii="Times" w:hAnsi="Times"/>
          <w:sz w:val="24"/>
          <w:szCs w:val="24"/>
        </w:rPr>
        <w:t xml:space="preserve"> </w:t>
      </w:r>
      <w:r w:rsidR="006350C8" w:rsidRPr="00C97F56">
        <w:rPr>
          <w:rFonts w:ascii="Times" w:hAnsi="Times"/>
          <w:sz w:val="24"/>
          <w:szCs w:val="24"/>
          <w:vertAlign w:val="superscript"/>
        </w:rPr>
        <w:t xml:space="preserve"> </w:t>
      </w:r>
      <w:r w:rsidR="006350C8" w:rsidRPr="00C97F56">
        <w:rPr>
          <w:rFonts w:ascii="Times" w:hAnsi="Times"/>
          <w:sz w:val="24"/>
          <w:szCs w:val="24"/>
        </w:rPr>
        <w:t>North Carolina is a national leader in wind power capacity.</w:t>
      </w:r>
    </w:p>
    <w:p w:rsidR="00AF7763" w:rsidRPr="00C97F56" w:rsidRDefault="00B75C14" w:rsidP="00AF7763">
      <w:pPr>
        <w:spacing w:after="0"/>
        <w:jc w:val="center"/>
        <w:rPr>
          <w:rFonts w:ascii="Times" w:hAnsi="Times"/>
          <w:noProof/>
          <w:sz w:val="24"/>
          <w:szCs w:val="24"/>
          <w:lang w:eastAsia="en-US"/>
        </w:rPr>
      </w:pPr>
      <w:r w:rsidRPr="00C97F56">
        <w:rPr>
          <w:rFonts w:ascii="Times" w:hAnsi="Times"/>
          <w:noProof/>
          <w:sz w:val="24"/>
          <w:szCs w:val="24"/>
          <w:lang w:eastAsia="en-US"/>
        </w:rPr>
        <w:drawing>
          <wp:inline distT="0" distB="0" distL="0" distR="0">
            <wp:extent cx="6134100" cy="190500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7763" w:rsidRPr="00C97F56" w:rsidRDefault="00AF7763" w:rsidP="00AF7763">
      <w:pPr>
        <w:spacing w:after="0"/>
        <w:jc w:val="center"/>
        <w:rPr>
          <w:rFonts w:ascii="Times" w:hAnsi="Times"/>
          <w:b/>
          <w:noProof/>
          <w:sz w:val="24"/>
          <w:szCs w:val="24"/>
        </w:rPr>
      </w:pPr>
      <w:r w:rsidRPr="00C97F56">
        <w:rPr>
          <w:rFonts w:ascii="Times" w:hAnsi="Times"/>
          <w:b/>
          <w:noProof/>
          <w:sz w:val="24"/>
          <w:szCs w:val="24"/>
        </w:rPr>
        <w:t>Figure 2: Energy Consumption</w:t>
      </w:r>
      <w:r w:rsidR="00E0462E" w:rsidRPr="00C97F56">
        <w:rPr>
          <w:rFonts w:ascii="Times" w:hAnsi="Times"/>
          <w:b/>
          <w:noProof/>
          <w:sz w:val="24"/>
          <w:szCs w:val="24"/>
        </w:rPr>
        <w:t xml:space="preserve"> </w:t>
      </w:r>
      <w:r w:rsidR="00B75C14" w:rsidRPr="00C97F56">
        <w:rPr>
          <w:rFonts w:ascii="Times" w:hAnsi="Times"/>
          <w:b/>
          <w:noProof/>
          <w:sz w:val="24"/>
          <w:szCs w:val="24"/>
        </w:rPr>
        <w:t>in North Carolina</w:t>
      </w:r>
      <w:r w:rsidR="00E0462E" w:rsidRPr="00C97F56">
        <w:rPr>
          <w:rFonts w:ascii="Times" w:hAnsi="Times"/>
          <w:b/>
          <w:noProof/>
          <w:sz w:val="24"/>
          <w:szCs w:val="24"/>
        </w:rPr>
        <w:t xml:space="preserve">, the South, and the U.S. </w:t>
      </w:r>
      <w:r w:rsidRPr="00C97F56">
        <w:rPr>
          <w:rFonts w:ascii="Times" w:hAnsi="Times"/>
          <w:b/>
          <w:noProof/>
          <w:sz w:val="24"/>
          <w:szCs w:val="24"/>
        </w:rPr>
        <w:t>by Sector, 2007</w:t>
      </w:r>
      <w:r w:rsidR="007D44EF" w:rsidRPr="00C97F56">
        <w:rPr>
          <w:rFonts w:ascii="Times New Roman" w:hAnsi="Times New Roman"/>
          <w:sz w:val="24"/>
          <w:szCs w:val="23"/>
          <w:vertAlign w:val="superscript"/>
        </w:rPr>
        <w:t>3</w:t>
      </w:r>
    </w:p>
    <w:p w:rsidR="00417808" w:rsidRPr="00C97F56" w:rsidRDefault="00417808" w:rsidP="002C3AD3">
      <w:pPr>
        <w:spacing w:after="0" w:line="240" w:lineRule="auto"/>
        <w:jc w:val="center"/>
        <w:rPr>
          <w:rFonts w:ascii="Times" w:hAnsi="Times"/>
          <w:b/>
          <w:noProof/>
          <w:sz w:val="24"/>
          <w:szCs w:val="24"/>
        </w:rPr>
      </w:pPr>
    </w:p>
    <w:p w:rsidR="00C10EBE" w:rsidRPr="00C97F56" w:rsidRDefault="00B75C14" w:rsidP="00417808">
      <w:pPr>
        <w:spacing w:after="0" w:line="240" w:lineRule="auto"/>
        <w:rPr>
          <w:rFonts w:ascii="Times" w:hAnsi="Times"/>
          <w:sz w:val="24"/>
          <w:szCs w:val="24"/>
        </w:rPr>
      </w:pPr>
      <w:r w:rsidRPr="00C97F56">
        <w:rPr>
          <w:rFonts w:ascii="Times" w:hAnsi="Times"/>
          <w:noProof/>
          <w:sz w:val="24"/>
          <w:szCs w:val="24"/>
          <w:lang w:eastAsia="en-US"/>
        </w:rPr>
        <w:drawing>
          <wp:inline distT="0" distB="0" distL="0" distR="0">
            <wp:extent cx="5943600" cy="1933575"/>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1B94" w:rsidRPr="00C97F56" w:rsidRDefault="00FB1B94" w:rsidP="007046CE">
      <w:pPr>
        <w:spacing w:after="0"/>
        <w:jc w:val="center"/>
        <w:rPr>
          <w:rFonts w:ascii="Times" w:hAnsi="Times"/>
          <w:b/>
          <w:noProof/>
          <w:sz w:val="24"/>
          <w:szCs w:val="24"/>
        </w:rPr>
      </w:pPr>
      <w:r w:rsidRPr="00C97F56">
        <w:rPr>
          <w:rFonts w:ascii="Times" w:hAnsi="Times"/>
          <w:b/>
          <w:noProof/>
          <w:sz w:val="24"/>
          <w:szCs w:val="24"/>
        </w:rPr>
        <w:t xml:space="preserve">Figure 3:  Energy Consumption </w:t>
      </w:r>
      <w:r w:rsidR="00BE3E4A" w:rsidRPr="00C97F56">
        <w:rPr>
          <w:rFonts w:ascii="Times" w:hAnsi="Times"/>
          <w:b/>
          <w:noProof/>
          <w:sz w:val="24"/>
          <w:szCs w:val="24"/>
        </w:rPr>
        <w:t xml:space="preserve">in </w:t>
      </w:r>
      <w:r w:rsidR="00B75C14" w:rsidRPr="00C97F56">
        <w:rPr>
          <w:rFonts w:ascii="Times" w:hAnsi="Times"/>
          <w:b/>
          <w:noProof/>
          <w:sz w:val="24"/>
          <w:szCs w:val="24"/>
        </w:rPr>
        <w:t>North Carolina</w:t>
      </w:r>
      <w:r w:rsidR="00BE3E4A" w:rsidRPr="00C97F56">
        <w:rPr>
          <w:rFonts w:ascii="Times" w:hAnsi="Times"/>
          <w:b/>
          <w:noProof/>
          <w:sz w:val="24"/>
          <w:szCs w:val="24"/>
        </w:rPr>
        <w:t xml:space="preserve">, </w:t>
      </w:r>
      <w:r w:rsidR="00904FBF" w:rsidRPr="00C97F56">
        <w:rPr>
          <w:rFonts w:ascii="Times" w:hAnsi="Times"/>
          <w:b/>
          <w:noProof/>
          <w:sz w:val="24"/>
          <w:szCs w:val="24"/>
        </w:rPr>
        <w:t xml:space="preserve">the </w:t>
      </w:r>
      <w:r w:rsidR="00BE3E4A" w:rsidRPr="00C97F56">
        <w:rPr>
          <w:rFonts w:ascii="Times" w:hAnsi="Times"/>
          <w:b/>
          <w:noProof/>
          <w:sz w:val="24"/>
          <w:szCs w:val="24"/>
        </w:rPr>
        <w:t xml:space="preserve">South, and </w:t>
      </w:r>
      <w:r w:rsidR="00904FBF" w:rsidRPr="00C97F56">
        <w:rPr>
          <w:rFonts w:ascii="Times" w:hAnsi="Times"/>
          <w:b/>
          <w:noProof/>
          <w:sz w:val="24"/>
          <w:szCs w:val="24"/>
        </w:rPr>
        <w:t xml:space="preserve">the </w:t>
      </w:r>
      <w:r w:rsidR="00BE3E4A" w:rsidRPr="00C97F56">
        <w:rPr>
          <w:rFonts w:ascii="Times" w:hAnsi="Times"/>
          <w:b/>
          <w:noProof/>
          <w:sz w:val="24"/>
          <w:szCs w:val="24"/>
        </w:rPr>
        <w:t>U</w:t>
      </w:r>
      <w:r w:rsidR="00C16FD0" w:rsidRPr="00C97F56">
        <w:rPr>
          <w:rFonts w:ascii="Times" w:hAnsi="Times"/>
          <w:b/>
          <w:noProof/>
          <w:sz w:val="24"/>
          <w:szCs w:val="24"/>
        </w:rPr>
        <w:t>.S.</w:t>
      </w:r>
      <w:r w:rsidR="00BE3E4A" w:rsidRPr="00C97F56">
        <w:rPr>
          <w:rFonts w:ascii="Times" w:hAnsi="Times"/>
          <w:b/>
          <w:noProof/>
          <w:sz w:val="24"/>
          <w:szCs w:val="24"/>
        </w:rPr>
        <w:t xml:space="preserve"> </w:t>
      </w:r>
      <w:r w:rsidRPr="00C97F56">
        <w:rPr>
          <w:rFonts w:ascii="Times" w:hAnsi="Times"/>
          <w:b/>
          <w:noProof/>
          <w:sz w:val="24"/>
          <w:szCs w:val="24"/>
        </w:rPr>
        <w:t>by Fuel Type</w:t>
      </w:r>
      <w:r w:rsidR="00544F2D" w:rsidRPr="00C97F56">
        <w:rPr>
          <w:rFonts w:ascii="Times" w:hAnsi="Times"/>
          <w:b/>
          <w:noProof/>
          <w:sz w:val="24"/>
          <w:szCs w:val="24"/>
        </w:rPr>
        <w:t>, 2007</w:t>
      </w:r>
      <w:r w:rsidR="007D44EF" w:rsidRPr="00C97F56">
        <w:rPr>
          <w:rFonts w:ascii="Times New Roman" w:hAnsi="Times New Roman"/>
          <w:sz w:val="24"/>
          <w:szCs w:val="23"/>
          <w:vertAlign w:val="superscript"/>
        </w:rPr>
        <w:t>3</w:t>
      </w:r>
      <w:r w:rsidR="00AB0AAD" w:rsidRPr="00C97F56">
        <w:rPr>
          <w:rFonts w:ascii="Times" w:hAnsi="Times"/>
          <w:b/>
          <w:noProof/>
          <w:sz w:val="24"/>
          <w:szCs w:val="24"/>
        </w:rPr>
        <w:t xml:space="preserve"> </w:t>
      </w:r>
    </w:p>
    <w:p w:rsidR="00302C28" w:rsidRPr="00C97F56" w:rsidRDefault="00302C28" w:rsidP="007046CE">
      <w:pPr>
        <w:spacing w:after="0"/>
        <w:jc w:val="center"/>
        <w:rPr>
          <w:rFonts w:ascii="Times" w:hAnsi="Times"/>
          <w:b/>
          <w:noProof/>
          <w:sz w:val="24"/>
          <w:szCs w:val="24"/>
        </w:rPr>
      </w:pPr>
    </w:p>
    <w:p w:rsidR="006119BA" w:rsidRPr="00C97F56" w:rsidRDefault="00386A72" w:rsidP="006119BA">
      <w:pPr>
        <w:spacing w:after="0"/>
        <w:rPr>
          <w:rFonts w:ascii="Times" w:hAnsi="Times"/>
          <w:b/>
          <w:noProof/>
          <w:sz w:val="24"/>
          <w:szCs w:val="24"/>
        </w:rPr>
      </w:pPr>
      <w:r w:rsidRPr="00C97F56">
        <w:rPr>
          <w:rFonts w:ascii="Times" w:hAnsi="Times"/>
          <w:sz w:val="24"/>
          <w:szCs w:val="24"/>
        </w:rPr>
        <w:t xml:space="preserve">North Carolina’s Renewable Energy and Energy Efficiency Portfolio Standard (REPS) </w:t>
      </w:r>
      <w:r w:rsidR="007D44EF" w:rsidRPr="00C97F56">
        <w:rPr>
          <w:rFonts w:ascii="Times" w:hAnsi="Times"/>
          <w:sz w:val="24"/>
          <w:szCs w:val="24"/>
        </w:rPr>
        <w:t>requires 12.5% of retail electricity in 2020 to be generated from renewable</w:t>
      </w:r>
      <w:r w:rsidR="00CB19AE">
        <w:rPr>
          <w:rFonts w:ascii="Times" w:hAnsi="Times"/>
          <w:sz w:val="24"/>
          <w:szCs w:val="24"/>
        </w:rPr>
        <w:t>s</w:t>
      </w:r>
      <w:r w:rsidR="007D44EF" w:rsidRPr="00C97F56">
        <w:rPr>
          <w:rFonts w:ascii="Times" w:hAnsi="Times"/>
          <w:sz w:val="24"/>
          <w:szCs w:val="24"/>
        </w:rPr>
        <w:t xml:space="preserve">.  The standard </w:t>
      </w:r>
      <w:r w:rsidRPr="00C97F56">
        <w:rPr>
          <w:rFonts w:ascii="Times" w:hAnsi="Times"/>
          <w:sz w:val="24"/>
          <w:szCs w:val="24"/>
        </w:rPr>
        <w:t>allows up to 25% of the requirement to be met through energy efficiency technologies</w:t>
      </w:r>
      <w:r w:rsidR="007D44EF" w:rsidRPr="00C97F56">
        <w:rPr>
          <w:rFonts w:ascii="Times" w:hAnsi="Times"/>
          <w:sz w:val="24"/>
          <w:szCs w:val="24"/>
        </w:rPr>
        <w:t xml:space="preserve"> up to 2020</w:t>
      </w:r>
      <w:r w:rsidRPr="00C97F56">
        <w:rPr>
          <w:rFonts w:ascii="Times" w:hAnsi="Times"/>
          <w:sz w:val="24"/>
          <w:szCs w:val="24"/>
        </w:rPr>
        <w:t>.</w:t>
      </w:r>
      <w:r w:rsidR="007D44EF" w:rsidRPr="00C97F56">
        <w:rPr>
          <w:rFonts w:ascii="Times" w:hAnsi="Times"/>
          <w:sz w:val="24"/>
          <w:szCs w:val="24"/>
        </w:rPr>
        <w:t xml:space="preserve">  Afterwards, energy efficiency may supply up to 40%.</w:t>
      </w:r>
      <w:r w:rsidR="007D44EF" w:rsidRPr="00C97F56">
        <w:rPr>
          <w:rFonts w:ascii="Times New Roman" w:hAnsi="Times New Roman"/>
          <w:sz w:val="24"/>
          <w:szCs w:val="23"/>
          <w:vertAlign w:val="superscript"/>
        </w:rPr>
        <w:t>5</w:t>
      </w:r>
      <w:r w:rsidR="007D44EF" w:rsidRPr="00C97F56">
        <w:rPr>
          <w:rFonts w:ascii="Times" w:hAnsi="Times"/>
          <w:sz w:val="24"/>
          <w:szCs w:val="24"/>
        </w:rPr>
        <w:t xml:space="preserve"> </w:t>
      </w:r>
      <w:r w:rsidR="00CB19AE">
        <w:rPr>
          <w:rFonts w:ascii="Times" w:hAnsi="Times"/>
          <w:sz w:val="24"/>
          <w:szCs w:val="24"/>
        </w:rPr>
        <w:t xml:space="preserve"> Another</w:t>
      </w:r>
      <w:r w:rsidRPr="00C97F56">
        <w:rPr>
          <w:rFonts w:ascii="Times" w:hAnsi="Times"/>
          <w:sz w:val="24"/>
          <w:szCs w:val="24"/>
        </w:rPr>
        <w:t xml:space="preserve"> s</w:t>
      </w:r>
      <w:r w:rsidR="006119BA" w:rsidRPr="00C97F56">
        <w:rPr>
          <w:rFonts w:ascii="Times" w:hAnsi="Times"/>
          <w:sz w:val="24"/>
          <w:szCs w:val="24"/>
        </w:rPr>
        <w:t xml:space="preserve">tate-wide </w:t>
      </w:r>
      <w:r w:rsidR="00CB19AE">
        <w:rPr>
          <w:rFonts w:ascii="Times" w:hAnsi="Times"/>
          <w:sz w:val="24"/>
          <w:szCs w:val="24"/>
        </w:rPr>
        <w:t xml:space="preserve">initiative, the </w:t>
      </w:r>
      <w:r w:rsidR="006119BA" w:rsidRPr="00C97F56">
        <w:rPr>
          <w:rFonts w:ascii="Times" w:hAnsi="Times"/>
          <w:sz w:val="24"/>
          <w:szCs w:val="24"/>
        </w:rPr>
        <w:t>“Upgrade and Save” program</w:t>
      </w:r>
      <w:r w:rsidR="00CB19AE">
        <w:rPr>
          <w:rFonts w:ascii="Times" w:hAnsi="Times"/>
          <w:sz w:val="24"/>
          <w:szCs w:val="24"/>
        </w:rPr>
        <w:t>,</w:t>
      </w:r>
      <w:r w:rsidR="006119BA" w:rsidRPr="00C97F56">
        <w:rPr>
          <w:rFonts w:ascii="Times" w:hAnsi="Times"/>
          <w:sz w:val="24"/>
          <w:szCs w:val="24"/>
        </w:rPr>
        <w:t xml:space="preserve"> encourages manufactured home dealers to implement energy efficient heat pumps and pays for the measures.  New homeowners can save up to $700 per year from the efficiency measure without experiencing any costs associated with the upgrade.</w:t>
      </w:r>
      <w:r w:rsidR="006119BA" w:rsidRPr="00C97F56">
        <w:rPr>
          <w:rFonts w:ascii="Times" w:hAnsi="Times"/>
          <w:sz w:val="24"/>
          <w:szCs w:val="24"/>
          <w:vertAlign w:val="superscript"/>
        </w:rPr>
        <w:t>5</w:t>
      </w:r>
      <w:r w:rsidR="006119BA" w:rsidRPr="00C97F56">
        <w:rPr>
          <w:rFonts w:ascii="Times" w:hAnsi="Times"/>
          <w:sz w:val="24"/>
          <w:szCs w:val="24"/>
        </w:rPr>
        <w:t xml:space="preserve">  More state initiatives are described in recent Southern States Energy Board and National Association of State Energy Officials publications.</w:t>
      </w:r>
      <w:r w:rsidR="006119BA" w:rsidRPr="00C97F56">
        <w:rPr>
          <w:rFonts w:ascii="Times New Roman" w:hAnsi="Times New Roman"/>
          <w:sz w:val="24"/>
          <w:szCs w:val="23"/>
          <w:vertAlign w:val="superscript"/>
        </w:rPr>
        <w:t xml:space="preserve">4, </w:t>
      </w:r>
      <w:r w:rsidR="007D44EF" w:rsidRPr="00C97F56">
        <w:rPr>
          <w:rFonts w:ascii="Times New Roman" w:hAnsi="Times New Roman"/>
          <w:sz w:val="24"/>
          <w:szCs w:val="23"/>
          <w:vertAlign w:val="superscript"/>
        </w:rPr>
        <w:t>6</w:t>
      </w:r>
    </w:p>
    <w:p w:rsidR="006119BA" w:rsidRPr="00C97F56" w:rsidRDefault="006119BA" w:rsidP="007046CE">
      <w:pPr>
        <w:spacing w:after="0"/>
        <w:jc w:val="center"/>
        <w:rPr>
          <w:rFonts w:ascii="Times" w:hAnsi="Times"/>
          <w:b/>
          <w:noProof/>
          <w:sz w:val="24"/>
          <w:szCs w:val="24"/>
        </w:rPr>
      </w:pPr>
    </w:p>
    <w:p w:rsidR="006119BA" w:rsidRPr="00C97F56" w:rsidRDefault="006119BA" w:rsidP="006119BA">
      <w:pPr>
        <w:spacing w:after="0"/>
        <w:rPr>
          <w:rFonts w:ascii="Times New Roman" w:hAnsi="Times New Roman"/>
          <w:sz w:val="24"/>
          <w:szCs w:val="23"/>
          <w:vertAlign w:val="superscript"/>
        </w:rPr>
      </w:pPr>
      <w:r w:rsidRPr="00C97F56">
        <w:rPr>
          <w:rFonts w:ascii="Times" w:hAnsi="Times"/>
          <w:sz w:val="24"/>
          <w:szCs w:val="24"/>
        </w:rPr>
        <w:t xml:space="preserve">Nevertheless, the </w:t>
      </w:r>
      <w:r w:rsidRPr="00C97F56">
        <w:rPr>
          <w:rFonts w:ascii="Times" w:hAnsi="Times"/>
          <w:i/>
          <w:sz w:val="24"/>
          <w:szCs w:val="24"/>
        </w:rPr>
        <w:t>2009 State Energy Efficiency Scorecard</w:t>
      </w:r>
      <w:r w:rsidRPr="00C97F56">
        <w:rPr>
          <w:rFonts w:ascii="Times" w:hAnsi="Times"/>
          <w:sz w:val="24"/>
          <w:szCs w:val="24"/>
        </w:rPr>
        <w:t xml:space="preserve"> from the American Council for an Energy Efficient Economy (and other studies of the State and region) suggests that additional policy initiatives </w:t>
      </w:r>
      <w:r w:rsidR="00BC533D">
        <w:rPr>
          <w:rFonts w:ascii="Times" w:hAnsi="Times"/>
          <w:sz w:val="24"/>
          <w:szCs w:val="24"/>
        </w:rPr>
        <w:t>could be implemented</w:t>
      </w:r>
      <w:r w:rsidRPr="00C97F56">
        <w:rPr>
          <w:rFonts w:ascii="Times" w:hAnsi="Times"/>
          <w:sz w:val="24"/>
          <w:szCs w:val="24"/>
        </w:rPr>
        <w:t xml:space="preserve"> in the State to encourage households, businesses, and industries to utilize energy more effectively.  Specifically, the ACEEE study rated </w:t>
      </w:r>
      <w:r w:rsidRPr="00C97F56">
        <w:rPr>
          <w:rFonts w:ascii="Times" w:hAnsi="Times"/>
          <w:iCs/>
          <w:sz w:val="24"/>
          <w:szCs w:val="24"/>
        </w:rPr>
        <w:t>North Carolina 26th</w:t>
      </w:r>
      <w:r w:rsidRPr="00C97F56">
        <w:rPr>
          <w:rFonts w:ascii="Times" w:hAnsi="Times"/>
          <w:sz w:val="24"/>
          <w:szCs w:val="24"/>
        </w:rPr>
        <w:t xml:space="preserve"> of the 50 states and DC for its adoption and implementation of energy-efficiency policies.  This score is based on the state’s performance in six energy efficiency policy areas:  utility and public benefits, transportation, building energy codes, combined heat and power, state government initiatives, and appliance efficiency standards.</w:t>
      </w:r>
      <w:r w:rsidR="007D44EF" w:rsidRPr="00C97F56">
        <w:rPr>
          <w:rFonts w:ascii="Times New Roman" w:hAnsi="Times New Roman"/>
          <w:sz w:val="24"/>
          <w:szCs w:val="23"/>
          <w:vertAlign w:val="superscript"/>
        </w:rPr>
        <w:t>7</w:t>
      </w:r>
    </w:p>
    <w:p w:rsidR="006119BA" w:rsidRPr="001621AE" w:rsidRDefault="006119BA" w:rsidP="006119BA">
      <w:pPr>
        <w:spacing w:after="0"/>
        <w:rPr>
          <w:rFonts w:ascii="Times New Roman" w:hAnsi="Times New Roman"/>
          <w:sz w:val="24"/>
          <w:szCs w:val="23"/>
          <w:vertAlign w:val="superscript"/>
        </w:rPr>
      </w:pPr>
      <w:r w:rsidRPr="00C97F56">
        <w:rPr>
          <w:rFonts w:ascii="Times" w:hAnsi="Times"/>
          <w:sz w:val="24"/>
          <w:szCs w:val="24"/>
        </w:rPr>
        <w:t>In the</w:t>
      </w:r>
      <w:r w:rsidRPr="00C97F56">
        <w:rPr>
          <w:rFonts w:ascii="Times" w:hAnsi="Times"/>
          <w:i/>
          <w:sz w:val="24"/>
          <w:szCs w:val="24"/>
        </w:rPr>
        <w:t xml:space="preserve"> Meta-Review of Efficiency Potential Studies and Their Implications for the South</w:t>
      </w:r>
      <w:r w:rsidRPr="00C97F56">
        <w:rPr>
          <w:rFonts w:ascii="Times" w:hAnsi="Times"/>
          <w:sz w:val="24"/>
          <w:szCs w:val="24"/>
        </w:rPr>
        <w:t xml:space="preserve">, Chandler and Brown (2009) reviewed </w:t>
      </w:r>
      <w:r w:rsidR="002236BA" w:rsidRPr="00C97F56">
        <w:rPr>
          <w:rFonts w:ascii="Times" w:hAnsi="Times"/>
          <w:sz w:val="24"/>
          <w:szCs w:val="24"/>
        </w:rPr>
        <w:t>eight</w:t>
      </w:r>
      <w:r w:rsidRPr="00C97F56">
        <w:rPr>
          <w:rFonts w:ascii="Times" w:hAnsi="Times"/>
          <w:sz w:val="24"/>
          <w:szCs w:val="24"/>
        </w:rPr>
        <w:t xml:space="preserve"> energy-efficiency studies that covered North Carolina.</w:t>
      </w:r>
      <w:r w:rsidR="005D7474" w:rsidRPr="00C97F56">
        <w:rPr>
          <w:rFonts w:ascii="Times" w:hAnsi="Times"/>
          <w:sz w:val="24"/>
          <w:szCs w:val="24"/>
        </w:rPr>
        <w:t xml:space="preserve"> </w:t>
      </w:r>
      <w:r w:rsidRPr="00C97F56">
        <w:rPr>
          <w:rFonts w:ascii="Times" w:hAnsi="Times"/>
          <w:sz w:val="24"/>
          <w:szCs w:val="24"/>
        </w:rPr>
        <w:t xml:space="preserve"> Estimates of “maximum achievable” </w:t>
      </w:r>
      <w:r w:rsidR="00CB19AE">
        <w:rPr>
          <w:rFonts w:ascii="Times" w:hAnsi="Times"/>
          <w:sz w:val="24"/>
          <w:szCs w:val="24"/>
        </w:rPr>
        <w:t>electricity</w:t>
      </w:r>
      <w:r w:rsidR="00FB21B9" w:rsidRPr="00C97F56">
        <w:rPr>
          <w:rFonts w:ascii="Times" w:hAnsi="Times"/>
          <w:sz w:val="24"/>
          <w:szCs w:val="24"/>
        </w:rPr>
        <w:t xml:space="preserve"> savings potential range from </w:t>
      </w:r>
      <w:r w:rsidR="00CB19AE">
        <w:rPr>
          <w:rFonts w:ascii="Times" w:hAnsi="Times"/>
          <w:sz w:val="24"/>
          <w:szCs w:val="24"/>
        </w:rPr>
        <w:t>8-27</w:t>
      </w:r>
      <w:r w:rsidR="00FB21B9" w:rsidRPr="00C97F56">
        <w:rPr>
          <w:rFonts w:ascii="Times" w:hAnsi="Times"/>
          <w:sz w:val="24"/>
          <w:szCs w:val="24"/>
        </w:rPr>
        <w:t>%</w:t>
      </w:r>
      <w:r w:rsidRPr="00C97F56">
        <w:rPr>
          <w:rFonts w:ascii="Times" w:hAnsi="Times"/>
          <w:sz w:val="24"/>
          <w:szCs w:val="24"/>
        </w:rPr>
        <w:t xml:space="preserve">. </w:t>
      </w:r>
      <w:r w:rsidR="005D7474" w:rsidRPr="00C97F56">
        <w:rPr>
          <w:rFonts w:ascii="Times" w:hAnsi="Times"/>
          <w:sz w:val="24"/>
          <w:szCs w:val="24"/>
        </w:rPr>
        <w:t xml:space="preserve"> </w:t>
      </w:r>
      <w:r w:rsidR="00386A72" w:rsidRPr="00C97F56">
        <w:rPr>
          <w:rFonts w:ascii="Times" w:hAnsi="Times"/>
          <w:sz w:val="24"/>
          <w:szCs w:val="24"/>
        </w:rPr>
        <w:t xml:space="preserve">The total energy saved could exceed this potential.  </w:t>
      </w:r>
      <w:r w:rsidR="005D7474" w:rsidRPr="00C97F56">
        <w:rPr>
          <w:rFonts w:ascii="Times" w:hAnsi="Times"/>
          <w:sz w:val="24"/>
          <w:szCs w:val="24"/>
        </w:rPr>
        <w:t>North Carolina’s</w:t>
      </w:r>
      <w:r w:rsidRPr="00C97F56">
        <w:rPr>
          <w:rFonts w:ascii="Times" w:hAnsi="Times"/>
          <w:sz w:val="24"/>
          <w:szCs w:val="24"/>
        </w:rPr>
        <w:t xml:space="preserve"> energy-efficiency potential would be higher than this range with the implementation of all cost-effective opportunities, but the number of studies with such estimates is limited.</w:t>
      </w:r>
      <w:r w:rsidR="007D44EF" w:rsidRPr="00C97F56">
        <w:rPr>
          <w:rFonts w:ascii="Times New Roman" w:hAnsi="Times New Roman"/>
          <w:sz w:val="24"/>
          <w:szCs w:val="23"/>
          <w:vertAlign w:val="superscript"/>
        </w:rPr>
        <w:t>8</w:t>
      </w:r>
      <w:r w:rsidR="001621AE">
        <w:rPr>
          <w:rFonts w:ascii="Times New Roman" w:hAnsi="Times New Roman"/>
          <w:sz w:val="24"/>
          <w:szCs w:val="23"/>
        </w:rPr>
        <w:t xml:space="preserve">  An ACEEE study examined energy efficiency, transportation, and water savings in the State.  Through the energy efficiency policies it examined, North Carolina could realize 37,830 GWh of electricity savings in 2025 or about 24% of the projected consumption.</w:t>
      </w:r>
      <w:r w:rsidR="001621AE">
        <w:rPr>
          <w:rFonts w:ascii="Times New Roman" w:hAnsi="Times New Roman"/>
          <w:sz w:val="24"/>
          <w:szCs w:val="23"/>
          <w:vertAlign w:val="superscript"/>
        </w:rPr>
        <w:t>9</w:t>
      </w:r>
    </w:p>
    <w:p w:rsidR="001621AE" w:rsidRDefault="001621AE" w:rsidP="006119BA">
      <w:pPr>
        <w:spacing w:after="0"/>
        <w:rPr>
          <w:rFonts w:ascii="Times New Roman" w:hAnsi="Times New Roman"/>
          <w:sz w:val="24"/>
          <w:szCs w:val="23"/>
        </w:rPr>
      </w:pPr>
    </w:p>
    <w:p w:rsidR="00D72235" w:rsidRPr="00C97F56" w:rsidRDefault="00D72235" w:rsidP="00D72235">
      <w:pPr>
        <w:spacing w:after="0"/>
        <w:rPr>
          <w:rFonts w:ascii="Times" w:hAnsi="Times"/>
          <w:b/>
          <w:sz w:val="24"/>
          <w:szCs w:val="24"/>
        </w:rPr>
      </w:pPr>
      <w:r w:rsidRPr="00C97F56">
        <w:rPr>
          <w:rFonts w:ascii="Times" w:hAnsi="Times"/>
          <w:b/>
          <w:sz w:val="24"/>
          <w:szCs w:val="24"/>
        </w:rPr>
        <w:t>Energy Efficiency Potential by Sector</w:t>
      </w:r>
    </w:p>
    <w:p w:rsidR="005D7474" w:rsidRPr="00C97F56" w:rsidRDefault="000905DE" w:rsidP="007046CE">
      <w:pPr>
        <w:spacing w:after="0"/>
        <w:rPr>
          <w:rFonts w:ascii="Times" w:hAnsi="Times"/>
          <w:sz w:val="24"/>
          <w:szCs w:val="24"/>
        </w:rPr>
      </w:pPr>
      <w:r>
        <w:rPr>
          <w:rFonts w:ascii="Times" w:hAnsi="Times"/>
          <w:sz w:val="24"/>
          <w:szCs w:val="24"/>
        </w:rPr>
        <w:t xml:space="preserve">The State’s </w:t>
      </w:r>
      <w:r w:rsidR="00494268">
        <w:rPr>
          <w:rFonts w:ascii="Times" w:hAnsi="Times"/>
          <w:sz w:val="24"/>
          <w:szCs w:val="24"/>
        </w:rPr>
        <w:t xml:space="preserve">total </w:t>
      </w:r>
      <w:r>
        <w:rPr>
          <w:rFonts w:ascii="Times" w:hAnsi="Times"/>
          <w:sz w:val="24"/>
          <w:szCs w:val="24"/>
        </w:rPr>
        <w:t>energy consumption</w:t>
      </w:r>
      <w:r w:rsidR="00494268">
        <w:rPr>
          <w:rFonts w:ascii="Times" w:hAnsi="Times"/>
          <w:sz w:val="24"/>
          <w:szCs w:val="24"/>
        </w:rPr>
        <w:t xml:space="preserve"> (residential, commercial, industrial, and transportation</w:t>
      </w:r>
      <w:r w:rsidR="00BC2685">
        <w:rPr>
          <w:rFonts w:ascii="Times" w:hAnsi="Times"/>
          <w:sz w:val="24"/>
          <w:szCs w:val="24"/>
        </w:rPr>
        <w:t xml:space="preserve"> sectors</w:t>
      </w:r>
      <w:r w:rsidR="00494268">
        <w:rPr>
          <w:rFonts w:ascii="Times" w:hAnsi="Times"/>
          <w:sz w:val="24"/>
          <w:szCs w:val="24"/>
        </w:rPr>
        <w:t>)</w:t>
      </w:r>
      <w:r>
        <w:rPr>
          <w:rFonts w:ascii="Times" w:hAnsi="Times"/>
          <w:sz w:val="24"/>
          <w:szCs w:val="24"/>
        </w:rPr>
        <w:t xml:space="preserve"> is projected to increase 22% from 2010 to 2030.  </w:t>
      </w:r>
      <w:r w:rsidR="00BC533D">
        <w:rPr>
          <w:rFonts w:ascii="Times" w:hAnsi="Times"/>
          <w:sz w:val="24"/>
          <w:szCs w:val="24"/>
        </w:rPr>
        <w:t xml:space="preserve">This profile describes the ability of nine energy policies to curb this growth in energy use by accelerating the adoption of cost-effective energy-efficient technologies in the residential, commercial, and industrial sectors of North Carolina.  </w:t>
      </w:r>
      <w:r w:rsidR="00E0462E" w:rsidRPr="00C97F56">
        <w:rPr>
          <w:rFonts w:ascii="Times" w:hAnsi="Times"/>
          <w:sz w:val="24"/>
          <w:szCs w:val="24"/>
        </w:rPr>
        <w:t xml:space="preserve">Altogether, these policies offer </w:t>
      </w:r>
      <w:r w:rsidR="00CA1AA0" w:rsidRPr="00C97F56">
        <w:rPr>
          <w:rFonts w:ascii="Times" w:hAnsi="Times"/>
          <w:sz w:val="24"/>
          <w:szCs w:val="24"/>
        </w:rPr>
        <w:t xml:space="preserve">the potential to reduce </w:t>
      </w:r>
      <w:r w:rsidR="00B75C14" w:rsidRPr="00C97F56">
        <w:rPr>
          <w:rFonts w:ascii="Times" w:hAnsi="Times"/>
          <w:sz w:val="24"/>
          <w:szCs w:val="24"/>
        </w:rPr>
        <w:t>North Carolina’s</w:t>
      </w:r>
      <w:r w:rsidR="00CA1AA0" w:rsidRPr="00C97F56">
        <w:rPr>
          <w:rFonts w:ascii="Times" w:hAnsi="Times"/>
          <w:sz w:val="24"/>
          <w:szCs w:val="24"/>
        </w:rPr>
        <w:t xml:space="preserve"> energy consumption by </w:t>
      </w:r>
      <w:r w:rsidR="005A65D4" w:rsidRPr="00C97F56">
        <w:rPr>
          <w:rFonts w:ascii="Times" w:hAnsi="Times"/>
          <w:sz w:val="24"/>
          <w:szCs w:val="24"/>
        </w:rPr>
        <w:t xml:space="preserve">approximately </w:t>
      </w:r>
      <w:r w:rsidR="00CE1C0A" w:rsidRPr="00C97F56">
        <w:rPr>
          <w:rFonts w:ascii="Times" w:hAnsi="Times"/>
          <w:sz w:val="24"/>
          <w:szCs w:val="24"/>
        </w:rPr>
        <w:t>1</w:t>
      </w:r>
      <w:r w:rsidR="00B75C14" w:rsidRPr="00C97F56">
        <w:rPr>
          <w:rFonts w:ascii="Times" w:hAnsi="Times"/>
          <w:sz w:val="24"/>
          <w:szCs w:val="24"/>
        </w:rPr>
        <w:t>3</w:t>
      </w:r>
      <w:r w:rsidR="00DB07AE" w:rsidRPr="00C97F56">
        <w:rPr>
          <w:rFonts w:ascii="Times" w:hAnsi="Times"/>
          <w:sz w:val="24"/>
          <w:szCs w:val="24"/>
        </w:rPr>
        <w:t>% of the energy consumed by the S</w:t>
      </w:r>
      <w:r w:rsidR="005A65D4" w:rsidRPr="00C97F56">
        <w:rPr>
          <w:rFonts w:ascii="Times" w:hAnsi="Times"/>
          <w:sz w:val="24"/>
          <w:szCs w:val="24"/>
        </w:rPr>
        <w:t>tate in 2007</w:t>
      </w:r>
      <w:r w:rsidR="00170795">
        <w:rPr>
          <w:rFonts w:ascii="Times" w:hAnsi="Times"/>
          <w:sz w:val="24"/>
          <w:szCs w:val="24"/>
        </w:rPr>
        <w:t xml:space="preserve"> (3</w:t>
      </w:r>
      <w:r w:rsidR="00F74EFA">
        <w:rPr>
          <w:rFonts w:ascii="Times" w:hAnsi="Times"/>
          <w:sz w:val="24"/>
          <w:szCs w:val="24"/>
        </w:rPr>
        <w:t>6</w:t>
      </w:r>
      <w:r w:rsidR="00170795">
        <w:rPr>
          <w:rFonts w:ascii="Times" w:hAnsi="Times"/>
          <w:sz w:val="24"/>
          <w:szCs w:val="24"/>
        </w:rPr>
        <w:t>0 TBtu in 2030) (Figure 4)</w:t>
      </w:r>
      <w:r w:rsidR="00D84B91" w:rsidRPr="00C97F56">
        <w:rPr>
          <w:rFonts w:ascii="Times" w:hAnsi="Times"/>
          <w:sz w:val="24"/>
          <w:szCs w:val="24"/>
        </w:rPr>
        <w:t xml:space="preserve">.  </w:t>
      </w:r>
      <w:r w:rsidR="00B75C14" w:rsidRPr="00C97F56">
        <w:rPr>
          <w:rFonts w:ascii="Times" w:hAnsi="Times"/>
          <w:sz w:val="24"/>
          <w:szCs w:val="24"/>
        </w:rPr>
        <w:t>With these policies, North Carolina’s</w:t>
      </w:r>
      <w:r w:rsidR="00CA1AA0" w:rsidRPr="00C97F56">
        <w:rPr>
          <w:rFonts w:ascii="Times" w:hAnsi="Times"/>
          <w:sz w:val="24"/>
          <w:szCs w:val="24"/>
        </w:rPr>
        <w:t xml:space="preserve"> energy consumption </w:t>
      </w:r>
      <w:r w:rsidR="00007C47" w:rsidRPr="00C97F56">
        <w:rPr>
          <w:rFonts w:ascii="Times" w:hAnsi="Times"/>
          <w:sz w:val="24"/>
          <w:szCs w:val="24"/>
        </w:rPr>
        <w:t>c</w:t>
      </w:r>
      <w:r w:rsidR="00CA1AA0" w:rsidRPr="00C97F56">
        <w:rPr>
          <w:rFonts w:ascii="Times" w:hAnsi="Times"/>
          <w:sz w:val="24"/>
          <w:szCs w:val="24"/>
        </w:rPr>
        <w:t xml:space="preserve">ould </w:t>
      </w:r>
      <w:r w:rsidR="00B75C14" w:rsidRPr="00C97F56">
        <w:rPr>
          <w:rFonts w:ascii="Times" w:hAnsi="Times"/>
          <w:sz w:val="24"/>
          <w:szCs w:val="24"/>
        </w:rPr>
        <w:t>remain relatively stable over the next two decades</w:t>
      </w:r>
      <w:r w:rsidR="00007C47" w:rsidRPr="00C97F56">
        <w:rPr>
          <w:rFonts w:ascii="Times" w:hAnsi="Times"/>
          <w:sz w:val="24"/>
          <w:szCs w:val="24"/>
        </w:rPr>
        <w:t>.</w:t>
      </w:r>
      <w:r w:rsidR="00600549">
        <w:rPr>
          <w:rFonts w:ascii="Times" w:hAnsi="Times"/>
          <w:sz w:val="24"/>
          <w:szCs w:val="24"/>
        </w:rPr>
        <w:t xml:space="preserve">  </w:t>
      </w:r>
      <w:r w:rsidR="00600549" w:rsidRPr="002D37E4">
        <w:rPr>
          <w:rFonts w:ascii="Times" w:hAnsi="Times"/>
          <w:sz w:val="24"/>
          <w:szCs w:val="24"/>
        </w:rPr>
        <w:t xml:space="preserve">For complete policy descriptions, refer to </w:t>
      </w:r>
      <w:r w:rsidR="00600549" w:rsidRPr="002D37E4">
        <w:rPr>
          <w:rFonts w:ascii="Times" w:hAnsi="Times"/>
          <w:i/>
          <w:sz w:val="24"/>
          <w:szCs w:val="24"/>
        </w:rPr>
        <w:t>E</w:t>
      </w:r>
      <w:r w:rsidR="00600549">
        <w:rPr>
          <w:rFonts w:ascii="Times" w:hAnsi="Times"/>
          <w:i/>
          <w:sz w:val="24"/>
          <w:szCs w:val="24"/>
        </w:rPr>
        <w:t xml:space="preserve">nergy Efficiency in the South </w:t>
      </w:r>
      <w:r w:rsidR="00600549">
        <w:rPr>
          <w:rFonts w:ascii="Times" w:hAnsi="Times"/>
          <w:sz w:val="24"/>
          <w:szCs w:val="24"/>
        </w:rPr>
        <w:t>by</w:t>
      </w:r>
      <w:r w:rsidR="00600549" w:rsidRPr="002D37E4">
        <w:rPr>
          <w:rFonts w:ascii="Times" w:hAnsi="Times"/>
          <w:i/>
          <w:sz w:val="24"/>
          <w:szCs w:val="24"/>
        </w:rPr>
        <w:t xml:space="preserve"> </w:t>
      </w:r>
      <w:r w:rsidR="00600549">
        <w:rPr>
          <w:rFonts w:ascii="Times" w:hAnsi="Times"/>
          <w:sz w:val="24"/>
          <w:szCs w:val="24"/>
        </w:rPr>
        <w:t>Brown et al.</w:t>
      </w:r>
      <w:r w:rsidR="00600549" w:rsidRPr="002D37E4">
        <w:rPr>
          <w:rFonts w:ascii="Times" w:hAnsi="Times"/>
          <w:sz w:val="24"/>
          <w:szCs w:val="24"/>
        </w:rPr>
        <w:t xml:space="preserve"> (2010).  </w:t>
      </w:r>
    </w:p>
    <w:p w:rsidR="00CB09C8" w:rsidRPr="00C97F56" w:rsidRDefault="008E0E5A" w:rsidP="005D7474">
      <w:pPr>
        <w:spacing w:after="0"/>
        <w:jc w:val="center"/>
        <w:rPr>
          <w:rFonts w:ascii="Times" w:hAnsi="Times"/>
          <w:sz w:val="24"/>
          <w:szCs w:val="24"/>
        </w:rPr>
      </w:pPr>
      <w:r w:rsidRPr="008E0E5A">
        <w:rPr>
          <w:rFonts w:ascii="Times" w:hAnsi="Times"/>
          <w:noProof/>
          <w:sz w:val="24"/>
          <w:szCs w:val="24"/>
          <w:lang w:eastAsia="en-US"/>
        </w:rPr>
        <w:drawing>
          <wp:inline distT="0" distB="0" distL="0" distR="0">
            <wp:extent cx="4733925" cy="2466975"/>
            <wp:effectExtent l="0" t="0" r="9525" b="0"/>
            <wp:docPr id="23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0392" w:rsidRDefault="00FB1B94" w:rsidP="001621AE">
      <w:pPr>
        <w:spacing w:after="0"/>
        <w:jc w:val="center"/>
        <w:rPr>
          <w:rFonts w:ascii="Times" w:hAnsi="Times"/>
          <w:b/>
          <w:sz w:val="24"/>
          <w:szCs w:val="24"/>
        </w:rPr>
      </w:pPr>
      <w:r w:rsidRPr="00C97F56">
        <w:rPr>
          <w:rFonts w:ascii="Times" w:hAnsi="Times"/>
          <w:b/>
          <w:sz w:val="24"/>
          <w:szCs w:val="24"/>
        </w:rPr>
        <w:t>Figure 4</w:t>
      </w:r>
      <w:r w:rsidR="00D84B91" w:rsidRPr="00C97F56">
        <w:rPr>
          <w:rFonts w:ascii="Times" w:hAnsi="Times"/>
          <w:b/>
          <w:sz w:val="24"/>
          <w:szCs w:val="24"/>
        </w:rPr>
        <w:t xml:space="preserve">: </w:t>
      </w:r>
      <w:r w:rsidR="00A01E2B" w:rsidRPr="00C97F56">
        <w:rPr>
          <w:rFonts w:ascii="Times" w:hAnsi="Times"/>
          <w:b/>
          <w:sz w:val="24"/>
          <w:szCs w:val="24"/>
        </w:rPr>
        <w:t xml:space="preserve">Energy Efficiency </w:t>
      </w:r>
      <w:r w:rsidR="00D84B91" w:rsidRPr="00C97F56">
        <w:rPr>
          <w:rFonts w:ascii="Times" w:hAnsi="Times"/>
          <w:b/>
          <w:sz w:val="24"/>
          <w:szCs w:val="24"/>
        </w:rPr>
        <w:t xml:space="preserve">Potential in </w:t>
      </w:r>
      <w:r w:rsidR="00B75C14" w:rsidRPr="00C97F56">
        <w:rPr>
          <w:rFonts w:ascii="Times" w:hAnsi="Times"/>
          <w:b/>
          <w:sz w:val="24"/>
          <w:szCs w:val="24"/>
        </w:rPr>
        <w:t>North Carolina</w:t>
      </w:r>
      <w:r w:rsidR="00D84B91" w:rsidRPr="00C97F56">
        <w:rPr>
          <w:rFonts w:ascii="Times" w:hAnsi="Times"/>
          <w:b/>
          <w:sz w:val="24"/>
          <w:szCs w:val="24"/>
        </w:rPr>
        <w:t xml:space="preserve"> </w:t>
      </w:r>
    </w:p>
    <w:p w:rsidR="00D84B91" w:rsidRDefault="007D0392" w:rsidP="001621AE">
      <w:pPr>
        <w:spacing w:after="0"/>
        <w:rPr>
          <w:rFonts w:ascii="Times" w:hAnsi="Times"/>
          <w:sz w:val="20"/>
          <w:szCs w:val="24"/>
        </w:rPr>
      </w:pPr>
      <w:r w:rsidRPr="001621AE">
        <w:rPr>
          <w:rFonts w:ascii="Times" w:hAnsi="Times"/>
          <w:b/>
          <w:sz w:val="20"/>
          <w:szCs w:val="24"/>
        </w:rPr>
        <w:t>(</w:t>
      </w:r>
      <w:r w:rsidRPr="001621AE">
        <w:rPr>
          <w:rFonts w:ascii="Times" w:hAnsi="Times"/>
          <w:sz w:val="20"/>
          <w:szCs w:val="24"/>
        </w:rPr>
        <w:t>Note: The baseline includes projected transportation sector consumption, as well as residential, commercial and industrial consumption.)</w:t>
      </w:r>
    </w:p>
    <w:p w:rsidR="001621AE" w:rsidRPr="001621AE" w:rsidRDefault="001621AE" w:rsidP="001621AE">
      <w:pPr>
        <w:spacing w:after="0"/>
        <w:rPr>
          <w:rFonts w:ascii="Times" w:hAnsi="Times"/>
          <w:b/>
          <w:sz w:val="24"/>
          <w:szCs w:val="24"/>
        </w:rPr>
      </w:pPr>
    </w:p>
    <w:p w:rsidR="000C53F1" w:rsidRPr="005720F1" w:rsidRDefault="00386BBE" w:rsidP="000C53F1">
      <w:pPr>
        <w:rPr>
          <w:rFonts w:ascii="Times" w:hAnsi="Times"/>
          <w:sz w:val="24"/>
          <w:szCs w:val="24"/>
        </w:rPr>
      </w:pPr>
      <w:r w:rsidRPr="00C97F56">
        <w:rPr>
          <w:rFonts w:ascii="Times" w:hAnsi="Times"/>
          <w:sz w:val="24"/>
          <w:szCs w:val="24"/>
        </w:rPr>
        <w:t xml:space="preserve">The </w:t>
      </w:r>
      <w:r w:rsidR="00602523" w:rsidRPr="00C97F56">
        <w:rPr>
          <w:rFonts w:ascii="Times" w:hAnsi="Times"/>
          <w:sz w:val="24"/>
          <w:szCs w:val="24"/>
        </w:rPr>
        <w:t>commercial</w:t>
      </w:r>
      <w:r w:rsidRPr="00C97F56">
        <w:rPr>
          <w:rFonts w:ascii="Times" w:hAnsi="Times"/>
          <w:sz w:val="24"/>
          <w:szCs w:val="24"/>
        </w:rPr>
        <w:t xml:space="preserve"> and </w:t>
      </w:r>
      <w:r w:rsidR="00602523" w:rsidRPr="00C97F56">
        <w:rPr>
          <w:rFonts w:ascii="Times" w:hAnsi="Times"/>
          <w:sz w:val="24"/>
          <w:szCs w:val="24"/>
        </w:rPr>
        <w:t>residential</w:t>
      </w:r>
      <w:r w:rsidRPr="00C97F56">
        <w:rPr>
          <w:rFonts w:ascii="Times" w:hAnsi="Times"/>
          <w:sz w:val="24"/>
          <w:szCs w:val="24"/>
        </w:rPr>
        <w:t xml:space="preserve"> sectors </w:t>
      </w:r>
      <w:r w:rsidR="00AB0AAD" w:rsidRPr="00C97F56">
        <w:rPr>
          <w:rFonts w:ascii="Times" w:hAnsi="Times"/>
          <w:sz w:val="24"/>
          <w:szCs w:val="24"/>
        </w:rPr>
        <w:t xml:space="preserve">offer the greatest </w:t>
      </w:r>
      <w:r w:rsidR="00776373" w:rsidRPr="00C97F56">
        <w:rPr>
          <w:rFonts w:ascii="Times" w:hAnsi="Times"/>
          <w:sz w:val="24"/>
          <w:szCs w:val="24"/>
        </w:rPr>
        <w:t xml:space="preserve">energy efficiency </w:t>
      </w:r>
      <w:r w:rsidR="00AB0AAD" w:rsidRPr="00C97F56">
        <w:rPr>
          <w:rFonts w:ascii="Times" w:hAnsi="Times"/>
          <w:sz w:val="24"/>
          <w:szCs w:val="24"/>
        </w:rPr>
        <w:t>potential in</w:t>
      </w:r>
      <w:r w:rsidR="00B75C14" w:rsidRPr="00C97F56">
        <w:rPr>
          <w:rFonts w:ascii="Times" w:hAnsi="Times"/>
          <w:sz w:val="24"/>
          <w:szCs w:val="24"/>
        </w:rPr>
        <w:t xml:space="preserve"> North Carolina</w:t>
      </w:r>
      <w:r w:rsidR="008106BE" w:rsidRPr="00C97F56">
        <w:rPr>
          <w:rFonts w:ascii="Times" w:hAnsi="Times"/>
          <w:sz w:val="24"/>
          <w:szCs w:val="24"/>
        </w:rPr>
        <w:t xml:space="preserve"> </w:t>
      </w:r>
      <w:r w:rsidR="00AD7C35" w:rsidRPr="00C97F56">
        <w:rPr>
          <w:rFonts w:ascii="Times" w:hAnsi="Times"/>
          <w:sz w:val="24"/>
          <w:szCs w:val="24"/>
        </w:rPr>
        <w:t>(</w:t>
      </w:r>
      <w:r w:rsidR="00FB1B94" w:rsidRPr="00C97F56">
        <w:rPr>
          <w:rFonts w:ascii="Times" w:hAnsi="Times"/>
          <w:sz w:val="24"/>
          <w:szCs w:val="24"/>
        </w:rPr>
        <w:t>Figure 5</w:t>
      </w:r>
      <w:r w:rsidR="00AD7C35" w:rsidRPr="00C97F56">
        <w:rPr>
          <w:rFonts w:ascii="Times" w:hAnsi="Times"/>
          <w:sz w:val="24"/>
          <w:szCs w:val="24"/>
        </w:rPr>
        <w:t>)</w:t>
      </w:r>
      <w:r w:rsidR="008106BE" w:rsidRPr="00C97F56">
        <w:rPr>
          <w:rFonts w:ascii="Times" w:hAnsi="Times"/>
          <w:sz w:val="24"/>
          <w:szCs w:val="24"/>
        </w:rPr>
        <w:t>.</w:t>
      </w:r>
      <w:r w:rsidR="007054AC" w:rsidRPr="00C97F56">
        <w:rPr>
          <w:rFonts w:ascii="Times" w:hAnsi="Times"/>
          <w:sz w:val="24"/>
          <w:szCs w:val="24"/>
        </w:rPr>
        <w:t xml:space="preserve"> </w:t>
      </w:r>
      <w:r w:rsidR="00B944F5" w:rsidRPr="00C97F56">
        <w:rPr>
          <w:rFonts w:ascii="Times" w:hAnsi="Times"/>
          <w:sz w:val="24"/>
          <w:szCs w:val="24"/>
        </w:rPr>
        <w:t xml:space="preserve"> </w:t>
      </w:r>
      <w:r w:rsidR="007949DF" w:rsidRPr="00C97F56">
        <w:rPr>
          <w:rFonts w:ascii="Times" w:hAnsi="Times"/>
          <w:sz w:val="24"/>
          <w:szCs w:val="24"/>
        </w:rPr>
        <w:t xml:space="preserve">In 2020, </w:t>
      </w:r>
      <w:r w:rsidR="00CD2B48" w:rsidRPr="00C97F56">
        <w:rPr>
          <w:rFonts w:ascii="Times" w:hAnsi="Times"/>
          <w:sz w:val="24"/>
          <w:szCs w:val="24"/>
        </w:rPr>
        <w:t xml:space="preserve">savings from </w:t>
      </w:r>
      <w:r w:rsidR="00D46B7E" w:rsidRPr="00C97F56">
        <w:rPr>
          <w:rFonts w:ascii="Times" w:hAnsi="Times"/>
          <w:sz w:val="24"/>
          <w:szCs w:val="24"/>
        </w:rPr>
        <w:t>all three sectors</w:t>
      </w:r>
      <w:r w:rsidRPr="00C97F56">
        <w:rPr>
          <w:rFonts w:ascii="Times" w:hAnsi="Times"/>
          <w:sz w:val="24"/>
          <w:szCs w:val="24"/>
        </w:rPr>
        <w:t xml:space="preserve"> </w:t>
      </w:r>
      <w:r w:rsidR="00CD2B48" w:rsidRPr="00C97F56">
        <w:rPr>
          <w:rFonts w:ascii="Times" w:hAnsi="Times"/>
          <w:sz w:val="24"/>
          <w:szCs w:val="24"/>
        </w:rPr>
        <w:t xml:space="preserve">is </w:t>
      </w:r>
      <w:r w:rsidR="00DB07AE" w:rsidRPr="00C97F56">
        <w:rPr>
          <w:rFonts w:ascii="Times" w:hAnsi="Times"/>
          <w:sz w:val="24"/>
          <w:szCs w:val="24"/>
        </w:rPr>
        <w:t xml:space="preserve">about </w:t>
      </w:r>
      <w:r w:rsidR="00B75C14" w:rsidRPr="00C97F56">
        <w:rPr>
          <w:rFonts w:ascii="Times" w:hAnsi="Times"/>
          <w:sz w:val="24"/>
          <w:szCs w:val="24"/>
        </w:rPr>
        <w:t>8</w:t>
      </w:r>
      <w:r w:rsidRPr="00C97F56">
        <w:rPr>
          <w:rFonts w:ascii="Times" w:hAnsi="Times"/>
          <w:sz w:val="24"/>
          <w:szCs w:val="24"/>
        </w:rPr>
        <w:t>%</w:t>
      </w:r>
      <w:r w:rsidR="00170795">
        <w:rPr>
          <w:rFonts w:ascii="Times" w:hAnsi="Times"/>
          <w:sz w:val="24"/>
          <w:szCs w:val="24"/>
        </w:rPr>
        <w:t xml:space="preserve"> (2</w:t>
      </w:r>
      <w:r w:rsidR="00F74EFA">
        <w:rPr>
          <w:rFonts w:ascii="Times" w:hAnsi="Times"/>
          <w:sz w:val="24"/>
          <w:szCs w:val="24"/>
        </w:rPr>
        <w:t>2</w:t>
      </w:r>
      <w:r w:rsidR="00170795">
        <w:rPr>
          <w:rFonts w:ascii="Times" w:hAnsi="Times"/>
          <w:sz w:val="24"/>
          <w:szCs w:val="24"/>
        </w:rPr>
        <w:t>0 TBtu)</w:t>
      </w:r>
      <w:r w:rsidRPr="00C97F56">
        <w:rPr>
          <w:rFonts w:ascii="Times" w:hAnsi="Times"/>
          <w:sz w:val="24"/>
          <w:szCs w:val="24"/>
        </w:rPr>
        <w:t xml:space="preserve"> of</w:t>
      </w:r>
      <w:r w:rsidR="00DB07AE" w:rsidRPr="00C97F56">
        <w:rPr>
          <w:rFonts w:ascii="Times" w:hAnsi="Times"/>
          <w:sz w:val="24"/>
          <w:szCs w:val="24"/>
        </w:rPr>
        <w:t xml:space="preserve"> the total energy consumed by the State in 2007</w:t>
      </w:r>
      <w:r w:rsidR="00D46B7E" w:rsidRPr="00C97F56">
        <w:rPr>
          <w:rFonts w:ascii="Times" w:hAnsi="Times"/>
          <w:sz w:val="24"/>
          <w:szCs w:val="24"/>
        </w:rPr>
        <w:t xml:space="preserve">.  </w:t>
      </w:r>
      <w:r w:rsidR="003821F9" w:rsidRPr="00C97F56">
        <w:rPr>
          <w:rFonts w:ascii="Times" w:hAnsi="Times"/>
          <w:sz w:val="24"/>
          <w:szCs w:val="24"/>
        </w:rPr>
        <w:t xml:space="preserve">Electricity savings </w:t>
      </w:r>
      <w:r w:rsidR="00416025" w:rsidRPr="00C97F56">
        <w:rPr>
          <w:rFonts w:ascii="Times" w:hAnsi="Times"/>
          <w:sz w:val="24"/>
          <w:szCs w:val="24"/>
        </w:rPr>
        <w:t xml:space="preserve">constitute </w:t>
      </w:r>
      <w:r w:rsidR="003821F9" w:rsidRPr="00C97F56">
        <w:rPr>
          <w:rFonts w:ascii="Times" w:hAnsi="Times"/>
          <w:sz w:val="24"/>
          <w:szCs w:val="24"/>
        </w:rPr>
        <w:t xml:space="preserve">190 TBtu of </w:t>
      </w:r>
      <w:r w:rsidR="00D46B7E" w:rsidRPr="00C97F56">
        <w:rPr>
          <w:rFonts w:ascii="Times" w:hAnsi="Times"/>
          <w:sz w:val="24"/>
          <w:szCs w:val="24"/>
        </w:rPr>
        <w:t>this</w:t>
      </w:r>
      <w:r w:rsidR="00DB07AE" w:rsidRPr="00C97F56">
        <w:rPr>
          <w:rFonts w:ascii="Times" w:hAnsi="Times"/>
          <w:sz w:val="24"/>
          <w:szCs w:val="24"/>
        </w:rPr>
        <w:t xml:space="preserve"> amount</w:t>
      </w:r>
      <w:r w:rsidR="00D46B7E" w:rsidRPr="00C97F56">
        <w:rPr>
          <w:rFonts w:ascii="Times" w:hAnsi="Times"/>
          <w:sz w:val="24"/>
          <w:szCs w:val="24"/>
        </w:rPr>
        <w:t xml:space="preserve">.  </w:t>
      </w:r>
      <w:r w:rsidR="005D7474" w:rsidRPr="00C97F56">
        <w:rPr>
          <w:rFonts w:ascii="Times" w:hAnsi="Times"/>
          <w:sz w:val="24"/>
          <w:szCs w:val="24"/>
        </w:rPr>
        <w:t>With these policies, the electricity</w:t>
      </w:r>
      <w:r w:rsidR="008E0DDC" w:rsidRPr="00C97F56">
        <w:rPr>
          <w:rFonts w:ascii="Times" w:hAnsi="Times"/>
          <w:sz w:val="24"/>
          <w:szCs w:val="24"/>
        </w:rPr>
        <w:t xml:space="preserve"> generated</w:t>
      </w:r>
      <w:r w:rsidR="005D7474" w:rsidRPr="00C97F56">
        <w:rPr>
          <w:rFonts w:ascii="Times" w:hAnsi="Times"/>
          <w:sz w:val="24"/>
          <w:szCs w:val="24"/>
        </w:rPr>
        <w:t xml:space="preserve"> </w:t>
      </w:r>
      <w:r w:rsidR="008E0DDC" w:rsidRPr="00C97F56">
        <w:rPr>
          <w:rFonts w:ascii="Times" w:hAnsi="Times"/>
          <w:sz w:val="24"/>
          <w:szCs w:val="24"/>
        </w:rPr>
        <w:t>by</w:t>
      </w:r>
      <w:r w:rsidR="005D7474" w:rsidRPr="00C97F56">
        <w:rPr>
          <w:rFonts w:ascii="Times" w:hAnsi="Times"/>
          <w:sz w:val="24"/>
          <w:szCs w:val="24"/>
        </w:rPr>
        <w:t xml:space="preserve"> six 500-MW power plants </w:t>
      </w:r>
      <w:r w:rsidR="00EB41AD">
        <w:rPr>
          <w:rFonts w:ascii="Times" w:hAnsi="Times"/>
          <w:sz w:val="24"/>
          <w:szCs w:val="24"/>
        </w:rPr>
        <w:t>in 2020 and about eleven</w:t>
      </w:r>
      <w:r w:rsidR="002F4A4E">
        <w:rPr>
          <w:rFonts w:ascii="Times" w:hAnsi="Times"/>
          <w:sz w:val="24"/>
          <w:szCs w:val="24"/>
        </w:rPr>
        <w:t xml:space="preserve"> such power plants in 2030 </w:t>
      </w:r>
      <w:r w:rsidR="005D7474" w:rsidRPr="00C97F56">
        <w:rPr>
          <w:rFonts w:ascii="Times" w:hAnsi="Times"/>
          <w:sz w:val="24"/>
          <w:szCs w:val="24"/>
        </w:rPr>
        <w:t>could be avoided.</w:t>
      </w:r>
      <w:r w:rsidR="003627D7">
        <w:rPr>
          <w:rFonts w:ascii="Times New Roman" w:hAnsi="Times New Roman"/>
          <w:sz w:val="24"/>
          <w:szCs w:val="23"/>
          <w:vertAlign w:val="superscript"/>
        </w:rPr>
        <w:t>10</w:t>
      </w:r>
      <w:r w:rsidR="000C53F1" w:rsidRPr="000C53F1">
        <w:rPr>
          <w:rFonts w:ascii="Times" w:hAnsi="Times"/>
          <w:sz w:val="24"/>
          <w:szCs w:val="24"/>
        </w:rPr>
        <w:t xml:space="preserve"> </w:t>
      </w:r>
      <w:r w:rsidR="002F4A4E">
        <w:rPr>
          <w:rFonts w:ascii="Times" w:hAnsi="Times"/>
          <w:sz w:val="24"/>
          <w:szCs w:val="24"/>
        </w:rPr>
        <w:t xml:space="preserve"> </w:t>
      </w:r>
    </w:p>
    <w:p w:rsidR="008106BE" w:rsidRPr="00C97F56" w:rsidRDefault="00B75C14" w:rsidP="007046CE">
      <w:pPr>
        <w:spacing w:after="0"/>
        <w:jc w:val="center"/>
        <w:rPr>
          <w:rFonts w:ascii="Times" w:hAnsi="Times"/>
          <w:b/>
          <w:sz w:val="24"/>
          <w:szCs w:val="24"/>
        </w:rPr>
      </w:pPr>
      <w:r w:rsidRPr="00C97F56">
        <w:rPr>
          <w:rFonts w:ascii="Times" w:hAnsi="Times"/>
          <w:b/>
          <w:noProof/>
          <w:sz w:val="24"/>
          <w:szCs w:val="24"/>
          <w:lang w:eastAsia="en-US"/>
        </w:rPr>
        <w:drawing>
          <wp:inline distT="0" distB="0" distL="0" distR="0">
            <wp:extent cx="5448300" cy="2628900"/>
            <wp:effectExtent l="0" t="0" r="0" b="0"/>
            <wp:docPr id="124" name="Chart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1B94" w:rsidRPr="00C97F56" w:rsidRDefault="008106BE" w:rsidP="0098516F">
      <w:pPr>
        <w:spacing w:after="0"/>
        <w:jc w:val="center"/>
        <w:rPr>
          <w:rFonts w:ascii="Times" w:hAnsi="Times"/>
          <w:b/>
          <w:sz w:val="24"/>
          <w:szCs w:val="24"/>
        </w:rPr>
      </w:pPr>
      <w:r w:rsidRPr="00C97F56">
        <w:rPr>
          <w:rFonts w:ascii="Times" w:hAnsi="Times"/>
          <w:b/>
          <w:sz w:val="24"/>
          <w:szCs w:val="24"/>
        </w:rPr>
        <w:t xml:space="preserve">Figure </w:t>
      </w:r>
      <w:r w:rsidR="00FB1B94" w:rsidRPr="00C97F56">
        <w:rPr>
          <w:rFonts w:ascii="Times" w:hAnsi="Times"/>
          <w:b/>
          <w:sz w:val="24"/>
          <w:szCs w:val="24"/>
        </w:rPr>
        <w:t>5</w:t>
      </w:r>
      <w:r w:rsidR="0098516F" w:rsidRPr="00C97F56">
        <w:rPr>
          <w:rFonts w:ascii="Times" w:hAnsi="Times"/>
          <w:b/>
          <w:sz w:val="24"/>
          <w:szCs w:val="24"/>
        </w:rPr>
        <w:t>: Energy-</w:t>
      </w:r>
      <w:r w:rsidRPr="00C97F56">
        <w:rPr>
          <w:rFonts w:ascii="Times" w:hAnsi="Times"/>
          <w:b/>
          <w:sz w:val="24"/>
          <w:szCs w:val="24"/>
        </w:rPr>
        <w:t xml:space="preserve">Efficiency </w:t>
      </w:r>
      <w:r w:rsidR="009A72BC" w:rsidRPr="00C97F56">
        <w:rPr>
          <w:rFonts w:ascii="Times" w:hAnsi="Times"/>
          <w:b/>
          <w:sz w:val="24"/>
          <w:szCs w:val="24"/>
        </w:rPr>
        <w:t>Potential</w:t>
      </w:r>
      <w:r w:rsidRPr="00C97F56">
        <w:rPr>
          <w:rFonts w:ascii="Times" w:hAnsi="Times"/>
          <w:b/>
          <w:sz w:val="24"/>
          <w:szCs w:val="24"/>
        </w:rPr>
        <w:t xml:space="preserve"> by Sector in </w:t>
      </w:r>
      <w:r w:rsidR="00B75C14" w:rsidRPr="00C97F56">
        <w:rPr>
          <w:rFonts w:ascii="Times" w:hAnsi="Times"/>
          <w:b/>
          <w:sz w:val="24"/>
          <w:szCs w:val="24"/>
        </w:rPr>
        <w:t>North Carolina</w:t>
      </w:r>
      <w:r w:rsidR="009A72BC" w:rsidRPr="00C97F56">
        <w:rPr>
          <w:rFonts w:ascii="Times" w:hAnsi="Times"/>
          <w:b/>
          <w:sz w:val="24"/>
          <w:szCs w:val="24"/>
        </w:rPr>
        <w:t>, 2020 and 2030</w:t>
      </w:r>
    </w:p>
    <w:p w:rsidR="0098516F" w:rsidRPr="00C97F56" w:rsidRDefault="0098516F" w:rsidP="00447D22">
      <w:pPr>
        <w:spacing w:after="0" w:line="240" w:lineRule="auto"/>
        <w:rPr>
          <w:rFonts w:ascii="Times" w:hAnsi="Times"/>
          <w:sz w:val="16"/>
          <w:szCs w:val="16"/>
        </w:rPr>
      </w:pPr>
    </w:p>
    <w:p w:rsidR="00447D22" w:rsidRPr="00C97F56" w:rsidRDefault="00447D22" w:rsidP="00447D22">
      <w:pPr>
        <w:spacing w:after="0"/>
        <w:rPr>
          <w:rFonts w:ascii="Times" w:hAnsi="Times"/>
          <w:sz w:val="16"/>
          <w:szCs w:val="16"/>
        </w:rPr>
      </w:pPr>
    </w:p>
    <w:p w:rsidR="00C15B0B" w:rsidRPr="00C97F56" w:rsidRDefault="00B730D8" w:rsidP="00B730D8">
      <w:pPr>
        <w:spacing w:after="0" w:line="240" w:lineRule="auto"/>
        <w:rPr>
          <w:rFonts w:ascii="Times" w:hAnsi="Times"/>
          <w:b/>
          <w:i/>
          <w:sz w:val="24"/>
          <w:szCs w:val="24"/>
        </w:rPr>
      </w:pPr>
      <w:r w:rsidRPr="00C97F56">
        <w:rPr>
          <w:rFonts w:ascii="Times" w:hAnsi="Times"/>
          <w:b/>
          <w:i/>
          <w:sz w:val="24"/>
          <w:szCs w:val="24"/>
        </w:rPr>
        <w:t>R</w:t>
      </w:r>
      <w:r w:rsidR="00C15B0B" w:rsidRPr="00C97F56">
        <w:rPr>
          <w:rFonts w:ascii="Times" w:hAnsi="Times"/>
          <w:b/>
          <w:i/>
          <w:sz w:val="24"/>
          <w:szCs w:val="24"/>
        </w:rPr>
        <w:t>esidential Sector</w:t>
      </w:r>
    </w:p>
    <w:p w:rsidR="000C3BE0" w:rsidRDefault="000C53F1" w:rsidP="007046CE">
      <w:pPr>
        <w:spacing w:after="0"/>
        <w:rPr>
          <w:rFonts w:ascii="Times" w:hAnsi="Times"/>
          <w:sz w:val="24"/>
          <w:szCs w:val="24"/>
        </w:rPr>
      </w:pPr>
      <w:r w:rsidRPr="00A94A0D">
        <w:rPr>
          <w:rFonts w:ascii="Times" w:hAnsi="Times"/>
          <w:sz w:val="24"/>
          <w:szCs w:val="24"/>
        </w:rPr>
        <w:t xml:space="preserve">Four residential energy efficiency policies were examined: more stringent building codes with third party verification, improved appliance standards and incentives, </w:t>
      </w:r>
      <w:r w:rsidR="004C7D1A">
        <w:rPr>
          <w:rFonts w:ascii="Times" w:hAnsi="Times"/>
          <w:sz w:val="24"/>
          <w:szCs w:val="24"/>
        </w:rPr>
        <w:t>an expanded</w:t>
      </w:r>
      <w:r w:rsidRPr="00A94A0D">
        <w:rPr>
          <w:rFonts w:ascii="Times" w:hAnsi="Times"/>
          <w:sz w:val="24"/>
          <w:szCs w:val="24"/>
        </w:rPr>
        <w:t xml:space="preserve"> Weatherization Assistance Prog</w:t>
      </w:r>
      <w:r w:rsidR="004C7D1A">
        <w:rPr>
          <w:rFonts w:ascii="Times" w:hAnsi="Times"/>
          <w:sz w:val="24"/>
          <w:szCs w:val="24"/>
        </w:rPr>
        <w:t xml:space="preserve">ram, and retrofit incentives with increased equipment standards.  </w:t>
      </w:r>
      <w:r w:rsidR="00B730D8" w:rsidRPr="00C97F56">
        <w:rPr>
          <w:rFonts w:ascii="Times" w:hAnsi="Times"/>
          <w:sz w:val="24"/>
          <w:szCs w:val="24"/>
        </w:rPr>
        <w:t xml:space="preserve">Their implementation </w:t>
      </w:r>
      <w:r w:rsidR="00E50E38" w:rsidRPr="00C97F56">
        <w:rPr>
          <w:rFonts w:ascii="Times" w:hAnsi="Times"/>
          <w:sz w:val="24"/>
          <w:szCs w:val="24"/>
        </w:rPr>
        <w:t xml:space="preserve">could </w:t>
      </w:r>
      <w:r w:rsidR="00F034F8" w:rsidRPr="00C97F56">
        <w:rPr>
          <w:rFonts w:ascii="Times" w:hAnsi="Times"/>
          <w:sz w:val="24"/>
          <w:szCs w:val="24"/>
        </w:rPr>
        <w:t xml:space="preserve">reduce </w:t>
      </w:r>
      <w:r w:rsidR="00B75C14" w:rsidRPr="00C97F56">
        <w:rPr>
          <w:rFonts w:ascii="Times" w:hAnsi="Times"/>
          <w:sz w:val="24"/>
          <w:szCs w:val="24"/>
        </w:rPr>
        <w:t>North Carolina’s</w:t>
      </w:r>
      <w:r w:rsidR="00B730D8" w:rsidRPr="00C97F56">
        <w:rPr>
          <w:rFonts w:ascii="Times" w:hAnsi="Times"/>
          <w:sz w:val="24"/>
          <w:szCs w:val="24"/>
        </w:rPr>
        <w:t xml:space="preserve"> </w:t>
      </w:r>
      <w:r w:rsidR="00F034F8" w:rsidRPr="00C97F56">
        <w:rPr>
          <w:rFonts w:ascii="Times" w:hAnsi="Times"/>
          <w:sz w:val="24"/>
          <w:szCs w:val="24"/>
        </w:rPr>
        <w:t xml:space="preserve">projected </w:t>
      </w:r>
      <w:r w:rsidR="00B730D8" w:rsidRPr="00C97F56">
        <w:rPr>
          <w:rFonts w:ascii="Times" w:hAnsi="Times"/>
          <w:sz w:val="24"/>
          <w:szCs w:val="24"/>
        </w:rPr>
        <w:t xml:space="preserve">residential </w:t>
      </w:r>
      <w:r w:rsidR="00F034F8" w:rsidRPr="00C97F56">
        <w:rPr>
          <w:rFonts w:ascii="Times" w:hAnsi="Times"/>
          <w:sz w:val="24"/>
          <w:szCs w:val="24"/>
        </w:rPr>
        <w:t xml:space="preserve">consumption by about </w:t>
      </w:r>
      <w:r w:rsidR="00CB56FE" w:rsidRPr="00C97F56">
        <w:rPr>
          <w:rFonts w:ascii="Times" w:hAnsi="Times"/>
          <w:sz w:val="24"/>
          <w:szCs w:val="24"/>
        </w:rPr>
        <w:t>10</w:t>
      </w:r>
      <w:r w:rsidR="00F034F8" w:rsidRPr="00C97F56">
        <w:rPr>
          <w:rFonts w:ascii="Times" w:hAnsi="Times"/>
          <w:sz w:val="24"/>
          <w:szCs w:val="24"/>
        </w:rPr>
        <w:t>% (</w:t>
      </w:r>
      <w:r w:rsidR="00B75C14" w:rsidRPr="00C97F56">
        <w:rPr>
          <w:rFonts w:ascii="Times" w:hAnsi="Times"/>
          <w:sz w:val="24"/>
          <w:szCs w:val="24"/>
        </w:rPr>
        <w:t>79</w:t>
      </w:r>
      <w:r w:rsidR="00E53B4E" w:rsidRPr="00C97F56">
        <w:rPr>
          <w:rFonts w:ascii="Times" w:hAnsi="Times"/>
          <w:sz w:val="24"/>
          <w:szCs w:val="24"/>
        </w:rPr>
        <w:t xml:space="preserve"> </w:t>
      </w:r>
      <w:r w:rsidR="00C15B0B" w:rsidRPr="00C97F56">
        <w:rPr>
          <w:rFonts w:ascii="Times" w:hAnsi="Times"/>
          <w:sz w:val="24"/>
          <w:szCs w:val="24"/>
        </w:rPr>
        <w:t>TBtu</w:t>
      </w:r>
      <w:r w:rsidR="00F034F8" w:rsidRPr="00C97F56">
        <w:rPr>
          <w:rFonts w:ascii="Times" w:hAnsi="Times"/>
          <w:sz w:val="24"/>
          <w:szCs w:val="24"/>
        </w:rPr>
        <w:t>)</w:t>
      </w:r>
      <w:r w:rsidR="00C15B0B" w:rsidRPr="00C97F56">
        <w:rPr>
          <w:rFonts w:ascii="Times" w:hAnsi="Times"/>
          <w:sz w:val="24"/>
          <w:szCs w:val="24"/>
        </w:rPr>
        <w:t xml:space="preserve"> </w:t>
      </w:r>
      <w:r w:rsidR="00D13DAE" w:rsidRPr="00C97F56">
        <w:rPr>
          <w:rFonts w:ascii="Times" w:hAnsi="Times"/>
          <w:sz w:val="24"/>
          <w:szCs w:val="24"/>
        </w:rPr>
        <w:t xml:space="preserve">in 2020 and </w:t>
      </w:r>
      <w:r w:rsidR="00063976" w:rsidRPr="00C97F56">
        <w:rPr>
          <w:rFonts w:ascii="Times" w:hAnsi="Times"/>
          <w:sz w:val="24"/>
          <w:szCs w:val="24"/>
        </w:rPr>
        <w:t>1</w:t>
      </w:r>
      <w:r w:rsidR="00CB56FE" w:rsidRPr="00C97F56">
        <w:rPr>
          <w:rFonts w:ascii="Times" w:hAnsi="Times"/>
          <w:sz w:val="24"/>
          <w:szCs w:val="24"/>
        </w:rPr>
        <w:t>6</w:t>
      </w:r>
      <w:r w:rsidR="00F034F8" w:rsidRPr="00C97F56">
        <w:rPr>
          <w:rFonts w:ascii="Times" w:hAnsi="Times"/>
          <w:sz w:val="24"/>
          <w:szCs w:val="24"/>
        </w:rPr>
        <w:t>% (</w:t>
      </w:r>
      <w:r w:rsidR="00D13DAE" w:rsidRPr="00C97F56">
        <w:rPr>
          <w:rFonts w:ascii="Times" w:hAnsi="Times"/>
          <w:sz w:val="24"/>
          <w:szCs w:val="24"/>
        </w:rPr>
        <w:t>1</w:t>
      </w:r>
      <w:r w:rsidR="00B75C14" w:rsidRPr="00C97F56">
        <w:rPr>
          <w:rFonts w:ascii="Times" w:hAnsi="Times"/>
          <w:sz w:val="24"/>
          <w:szCs w:val="24"/>
        </w:rPr>
        <w:t>40</w:t>
      </w:r>
      <w:r w:rsidR="00F22ABE" w:rsidRPr="00C97F56">
        <w:rPr>
          <w:rFonts w:ascii="Times" w:hAnsi="Times"/>
          <w:sz w:val="24"/>
          <w:szCs w:val="24"/>
        </w:rPr>
        <w:t xml:space="preserve"> TBtu</w:t>
      </w:r>
      <w:r w:rsidR="00F034F8" w:rsidRPr="00C97F56">
        <w:rPr>
          <w:rFonts w:ascii="Times" w:hAnsi="Times"/>
          <w:sz w:val="24"/>
          <w:szCs w:val="24"/>
        </w:rPr>
        <w:t>)</w:t>
      </w:r>
      <w:r w:rsidR="00F22ABE" w:rsidRPr="00C97F56">
        <w:rPr>
          <w:rFonts w:ascii="Times" w:hAnsi="Times"/>
          <w:sz w:val="24"/>
          <w:szCs w:val="24"/>
        </w:rPr>
        <w:t xml:space="preserve"> in 2030</w:t>
      </w:r>
      <w:r w:rsidR="00947C1A" w:rsidRPr="00C97F56">
        <w:rPr>
          <w:rFonts w:ascii="Times" w:hAnsi="Times"/>
          <w:sz w:val="24"/>
          <w:szCs w:val="24"/>
        </w:rPr>
        <w:t xml:space="preserve"> (Figure 6).</w:t>
      </w:r>
      <w:r w:rsidR="00C15B0B" w:rsidRPr="00C97F56">
        <w:rPr>
          <w:rFonts w:ascii="Times" w:hAnsi="Times"/>
          <w:sz w:val="24"/>
          <w:szCs w:val="24"/>
        </w:rPr>
        <w:t xml:space="preserve"> </w:t>
      </w:r>
      <w:r w:rsidR="00947C1A" w:rsidRPr="00C97F56">
        <w:rPr>
          <w:rFonts w:ascii="Times" w:hAnsi="Times"/>
          <w:sz w:val="24"/>
          <w:szCs w:val="24"/>
        </w:rPr>
        <w:t xml:space="preserve"> </w:t>
      </w:r>
      <w:r w:rsidR="00951FA6" w:rsidRPr="00C97F56">
        <w:rPr>
          <w:rFonts w:ascii="Times" w:hAnsi="Times"/>
          <w:sz w:val="24"/>
          <w:szCs w:val="24"/>
        </w:rPr>
        <w:t xml:space="preserve">In 2020, </w:t>
      </w:r>
      <w:r w:rsidR="00D156F9" w:rsidRPr="00C97F56">
        <w:rPr>
          <w:rFonts w:ascii="Times" w:hAnsi="Times"/>
          <w:sz w:val="24"/>
          <w:szCs w:val="24"/>
        </w:rPr>
        <w:t>the</w:t>
      </w:r>
      <w:r w:rsidR="00877A17" w:rsidRPr="00C97F56">
        <w:rPr>
          <w:rFonts w:ascii="Times" w:hAnsi="Times"/>
          <w:sz w:val="24"/>
          <w:szCs w:val="24"/>
        </w:rPr>
        <w:t xml:space="preserve"> </w:t>
      </w:r>
      <w:r w:rsidR="00377850" w:rsidRPr="00C97F56">
        <w:rPr>
          <w:rFonts w:ascii="Times" w:hAnsi="Times"/>
          <w:sz w:val="24"/>
          <w:szCs w:val="24"/>
        </w:rPr>
        <w:t xml:space="preserve">residential </w:t>
      </w:r>
      <w:r w:rsidR="000C3BE0" w:rsidRPr="00C97F56">
        <w:rPr>
          <w:rFonts w:ascii="Times" w:hAnsi="Times"/>
          <w:sz w:val="24"/>
          <w:szCs w:val="24"/>
        </w:rPr>
        <w:t xml:space="preserve">energy required by </w:t>
      </w:r>
      <w:r w:rsidR="00AB0AAD" w:rsidRPr="00C97F56">
        <w:rPr>
          <w:rFonts w:ascii="Times" w:hAnsi="Times"/>
          <w:sz w:val="24"/>
          <w:szCs w:val="24"/>
        </w:rPr>
        <w:t xml:space="preserve">about </w:t>
      </w:r>
      <w:r w:rsidR="005D7474" w:rsidRPr="00C97F56">
        <w:rPr>
          <w:rFonts w:ascii="Times" w:eastAsia="Times New Roman" w:hAnsi="Times" w:cs="Calibri"/>
          <w:sz w:val="24"/>
          <w:szCs w:val="24"/>
        </w:rPr>
        <w:t>390,000</w:t>
      </w:r>
      <w:r w:rsidR="005D7474" w:rsidRPr="00C97F56">
        <w:rPr>
          <w:rFonts w:ascii="Times" w:hAnsi="Times"/>
          <w:sz w:val="24"/>
          <w:szCs w:val="24"/>
        </w:rPr>
        <w:t xml:space="preserve"> </w:t>
      </w:r>
      <w:r w:rsidR="00B940DC" w:rsidRPr="00C97F56">
        <w:rPr>
          <w:rFonts w:ascii="Times" w:hAnsi="Times"/>
          <w:sz w:val="24"/>
          <w:szCs w:val="24"/>
        </w:rPr>
        <w:t xml:space="preserve">North </w:t>
      </w:r>
      <w:r w:rsidR="00F94448" w:rsidRPr="00C97F56">
        <w:rPr>
          <w:rFonts w:ascii="Times" w:hAnsi="Times"/>
          <w:sz w:val="24"/>
          <w:szCs w:val="24"/>
        </w:rPr>
        <w:t>Carolinian</w:t>
      </w:r>
      <w:r w:rsidR="00951FA6" w:rsidRPr="00C97F56">
        <w:rPr>
          <w:rFonts w:ascii="Times" w:hAnsi="Times"/>
          <w:sz w:val="24"/>
          <w:szCs w:val="24"/>
        </w:rPr>
        <w:t xml:space="preserve"> </w:t>
      </w:r>
      <w:r w:rsidR="00AB0AAD" w:rsidRPr="00C97F56">
        <w:rPr>
          <w:rFonts w:ascii="Times" w:hAnsi="Times"/>
          <w:sz w:val="24"/>
          <w:szCs w:val="24"/>
        </w:rPr>
        <w:t>hous</w:t>
      </w:r>
      <w:r w:rsidR="00951FA6" w:rsidRPr="00C97F56">
        <w:rPr>
          <w:rFonts w:ascii="Times" w:hAnsi="Times"/>
          <w:sz w:val="24"/>
          <w:szCs w:val="24"/>
        </w:rPr>
        <w:t>eholds</w:t>
      </w:r>
      <w:r w:rsidR="007B591C" w:rsidRPr="00C97F56">
        <w:rPr>
          <w:rFonts w:ascii="Times" w:hAnsi="Times"/>
          <w:sz w:val="24"/>
          <w:szCs w:val="24"/>
        </w:rPr>
        <w:t xml:space="preserve"> c</w:t>
      </w:r>
      <w:r w:rsidR="00E50E38" w:rsidRPr="00C97F56">
        <w:rPr>
          <w:rFonts w:ascii="Times" w:hAnsi="Times"/>
          <w:sz w:val="24"/>
          <w:szCs w:val="24"/>
        </w:rPr>
        <w:t>ould</w:t>
      </w:r>
      <w:r w:rsidR="007B591C" w:rsidRPr="00C97F56">
        <w:rPr>
          <w:rFonts w:ascii="Times" w:hAnsi="Times"/>
          <w:sz w:val="24"/>
          <w:szCs w:val="24"/>
        </w:rPr>
        <w:t xml:space="preserve"> be avoided</w:t>
      </w:r>
      <w:r w:rsidR="00E50E38" w:rsidRPr="00C97F56">
        <w:rPr>
          <w:rFonts w:ascii="Times" w:hAnsi="Times"/>
          <w:sz w:val="24"/>
          <w:szCs w:val="24"/>
        </w:rPr>
        <w:t xml:space="preserve"> or about $</w:t>
      </w:r>
      <w:r w:rsidR="00167461" w:rsidRPr="00C97F56">
        <w:rPr>
          <w:rFonts w:ascii="Times" w:hAnsi="Times"/>
          <w:sz w:val="24"/>
          <w:szCs w:val="24"/>
        </w:rPr>
        <w:t>32</w:t>
      </w:r>
      <w:r w:rsidR="005D7474" w:rsidRPr="00C97F56">
        <w:rPr>
          <w:rFonts w:ascii="Times" w:hAnsi="Times"/>
          <w:sz w:val="24"/>
          <w:szCs w:val="24"/>
        </w:rPr>
        <w:t xml:space="preserve">0 </w:t>
      </w:r>
      <w:r w:rsidR="00E50E38" w:rsidRPr="00C97F56">
        <w:rPr>
          <w:rFonts w:ascii="Times" w:hAnsi="Times"/>
          <w:sz w:val="24"/>
          <w:szCs w:val="24"/>
        </w:rPr>
        <w:t>per household</w:t>
      </w:r>
      <w:r w:rsidR="00947C1A" w:rsidRPr="00C97F56">
        <w:rPr>
          <w:rFonts w:ascii="Times" w:hAnsi="Times"/>
          <w:sz w:val="24"/>
          <w:szCs w:val="24"/>
        </w:rPr>
        <w:t>.</w:t>
      </w:r>
      <w:r w:rsidR="000C3BE0" w:rsidRPr="00C97F56">
        <w:rPr>
          <w:rFonts w:ascii="Times" w:hAnsi="Times"/>
          <w:sz w:val="24"/>
          <w:szCs w:val="24"/>
        </w:rPr>
        <w:t xml:space="preserve">  </w:t>
      </w:r>
    </w:p>
    <w:p w:rsidR="002C3AD3" w:rsidRPr="00C97F56" w:rsidRDefault="002C3AD3" w:rsidP="007046CE">
      <w:pPr>
        <w:spacing w:after="0"/>
        <w:rPr>
          <w:rFonts w:ascii="Times" w:hAnsi="Times"/>
          <w:sz w:val="24"/>
          <w:szCs w:val="24"/>
        </w:rPr>
      </w:pPr>
    </w:p>
    <w:tbl>
      <w:tblPr>
        <w:tblW w:w="10620" w:type="dxa"/>
        <w:jc w:val="center"/>
        <w:tblInd w:w="-252" w:type="dxa"/>
        <w:tblLayout w:type="fixed"/>
        <w:tblLook w:val="04A0"/>
      </w:tblPr>
      <w:tblGrid>
        <w:gridCol w:w="5040"/>
        <w:gridCol w:w="5580"/>
      </w:tblGrid>
      <w:tr w:rsidR="00447D22" w:rsidRPr="00C97F56">
        <w:trPr>
          <w:trHeight w:val="3140"/>
          <w:jc w:val="center"/>
        </w:trPr>
        <w:tc>
          <w:tcPr>
            <w:tcW w:w="5040" w:type="dxa"/>
          </w:tcPr>
          <w:p w:rsidR="00447D22" w:rsidRPr="00C97F56" w:rsidRDefault="005D29BC" w:rsidP="007D44EF">
            <w:pPr>
              <w:spacing w:after="0" w:line="240" w:lineRule="auto"/>
              <w:jc w:val="center"/>
              <w:rPr>
                <w:rFonts w:ascii="Times" w:hAnsi="Times"/>
                <w:b/>
                <w:noProof/>
                <w:sz w:val="24"/>
                <w:szCs w:val="24"/>
              </w:rPr>
            </w:pPr>
            <w:r w:rsidRPr="00C97F56">
              <w:rPr>
                <w:rFonts w:ascii="Times" w:hAnsi="Times"/>
                <w:b/>
                <w:noProof/>
                <w:sz w:val="24"/>
                <w:szCs w:val="24"/>
                <w:lang w:eastAsia="en-US"/>
              </w:rPr>
              <w:drawing>
                <wp:inline distT="0" distB="0" distL="0" distR="0">
                  <wp:extent cx="3171825" cy="22669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47D22" w:rsidRPr="00C97F56" w:rsidRDefault="00447D22" w:rsidP="00B75C14">
            <w:pPr>
              <w:spacing w:after="0" w:line="240" w:lineRule="auto"/>
              <w:jc w:val="center"/>
              <w:rPr>
                <w:rFonts w:ascii="Times" w:hAnsi="Times"/>
                <w:b/>
                <w:sz w:val="24"/>
                <w:szCs w:val="24"/>
              </w:rPr>
            </w:pPr>
            <w:r w:rsidRPr="00C97F56">
              <w:rPr>
                <w:rFonts w:ascii="Times" w:hAnsi="Times"/>
                <w:b/>
                <w:noProof/>
                <w:sz w:val="24"/>
                <w:szCs w:val="24"/>
              </w:rPr>
              <w:t>Figure 6: Residential Sector Savings</w:t>
            </w:r>
          </w:p>
        </w:tc>
        <w:tc>
          <w:tcPr>
            <w:tcW w:w="5580" w:type="dxa"/>
          </w:tcPr>
          <w:p w:rsidR="00447D22" w:rsidRPr="00C97F56" w:rsidRDefault="005D29BC" w:rsidP="00B75C14">
            <w:pPr>
              <w:spacing w:after="0" w:line="240" w:lineRule="auto"/>
              <w:rPr>
                <w:rFonts w:ascii="Times" w:hAnsi="Times"/>
                <w:b/>
                <w:noProof/>
                <w:sz w:val="24"/>
                <w:szCs w:val="24"/>
              </w:rPr>
            </w:pPr>
            <w:r w:rsidRPr="00C97F56">
              <w:rPr>
                <w:rFonts w:ascii="Times" w:hAnsi="Times"/>
                <w:b/>
                <w:noProof/>
                <w:sz w:val="24"/>
                <w:szCs w:val="24"/>
                <w:lang w:eastAsia="en-US"/>
              </w:rPr>
              <w:drawing>
                <wp:inline distT="0" distB="0" distL="0" distR="0">
                  <wp:extent cx="3257550" cy="2276475"/>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7D22" w:rsidRPr="00C97F56" w:rsidRDefault="00447D22" w:rsidP="00B75C14">
            <w:pPr>
              <w:spacing w:after="0" w:line="240" w:lineRule="auto"/>
              <w:rPr>
                <w:rFonts w:ascii="Times" w:hAnsi="Times"/>
                <w:b/>
                <w:noProof/>
                <w:sz w:val="24"/>
                <w:szCs w:val="24"/>
              </w:rPr>
            </w:pPr>
            <w:r w:rsidRPr="00C97F56">
              <w:rPr>
                <w:rFonts w:ascii="Times" w:hAnsi="Times"/>
                <w:b/>
                <w:noProof/>
                <w:sz w:val="24"/>
                <w:szCs w:val="24"/>
              </w:rPr>
              <w:t xml:space="preserve"> Figure 7: Residential Sector Savings by Fuel Type</w:t>
            </w:r>
          </w:p>
        </w:tc>
      </w:tr>
    </w:tbl>
    <w:p w:rsidR="002C3AD3" w:rsidRDefault="002C3AD3" w:rsidP="007046CE">
      <w:pPr>
        <w:spacing w:after="0"/>
        <w:rPr>
          <w:rFonts w:ascii="Times" w:hAnsi="Times"/>
          <w:sz w:val="24"/>
          <w:szCs w:val="24"/>
        </w:rPr>
      </w:pPr>
    </w:p>
    <w:p w:rsidR="000C53F1" w:rsidRDefault="000C53F1" w:rsidP="007046CE">
      <w:pPr>
        <w:spacing w:after="0"/>
        <w:rPr>
          <w:rFonts w:ascii="Times" w:hAnsi="Times"/>
          <w:sz w:val="24"/>
          <w:szCs w:val="24"/>
        </w:rPr>
      </w:pPr>
      <w:r w:rsidRPr="00C97F56">
        <w:rPr>
          <w:rFonts w:ascii="Times" w:hAnsi="Times"/>
          <w:sz w:val="24"/>
          <w:szCs w:val="24"/>
        </w:rPr>
        <w:t xml:space="preserve">The principal energy savings are from electricity, but significant natural gas savings could also occur (Figure 7).  With these policies, growth in residential energy consumption could be dramatically slowed.  </w:t>
      </w:r>
    </w:p>
    <w:p w:rsidR="000808A7" w:rsidRPr="00C97F56" w:rsidRDefault="000808A7" w:rsidP="007046CE">
      <w:pPr>
        <w:spacing w:after="0"/>
        <w:rPr>
          <w:rFonts w:ascii="Times" w:hAnsi="Times"/>
          <w:b/>
          <w:i/>
          <w:sz w:val="24"/>
          <w:szCs w:val="24"/>
        </w:rPr>
      </w:pPr>
      <w:r w:rsidRPr="00C97F56">
        <w:rPr>
          <w:rFonts w:ascii="Times" w:hAnsi="Times"/>
          <w:b/>
          <w:i/>
          <w:sz w:val="24"/>
          <w:szCs w:val="24"/>
        </w:rPr>
        <w:t>Commercial Sector</w:t>
      </w:r>
    </w:p>
    <w:p w:rsidR="00AD08C4" w:rsidRDefault="00142969" w:rsidP="007046CE">
      <w:pPr>
        <w:spacing w:after="0"/>
        <w:rPr>
          <w:rFonts w:ascii="Times" w:hAnsi="Times"/>
          <w:sz w:val="24"/>
          <w:szCs w:val="24"/>
        </w:rPr>
      </w:pPr>
      <w:r w:rsidRPr="000C3979">
        <w:rPr>
          <w:rFonts w:ascii="Times" w:hAnsi="Times" w:cs="Times"/>
          <w:color w:val="000000"/>
          <w:sz w:val="24"/>
          <w:szCs w:val="24"/>
        </w:rPr>
        <w:t>The implementation of appliance standards and retrofit policies in North Carolina’s commercial sector could reduce projected energy consumption in 2020 by approximately 14%, and by 21% in 2030 (Figure 8).  In 2020, the commercial sector could save about 95 TBtu , which is equivalent to the amount of energy that 2,700 Wal-Mart stores spend a year.</w:t>
      </w:r>
      <w:r w:rsidRPr="000C3979">
        <w:rPr>
          <w:rFonts w:ascii="Times" w:hAnsi="Times"/>
          <w:sz w:val="24"/>
          <w:szCs w:val="24"/>
        </w:rPr>
        <w:t xml:space="preserve">   </w:t>
      </w:r>
      <w:r w:rsidRPr="000C3979">
        <w:rPr>
          <w:rFonts w:ascii="Times" w:eastAsia="Times New Roman" w:hAnsi="Times" w:cs="Times"/>
          <w:color w:val="000000"/>
          <w:sz w:val="24"/>
          <w:szCs w:val="24"/>
        </w:rPr>
        <w:t>Each business in North Carolina could save $65,000 on average.</w:t>
      </w:r>
      <w:r w:rsidR="007D44EF" w:rsidRPr="000C3979">
        <w:rPr>
          <w:rFonts w:ascii="Times" w:hAnsi="Times"/>
          <w:sz w:val="24"/>
          <w:szCs w:val="24"/>
          <w:vertAlign w:val="superscript"/>
        </w:rPr>
        <w:t>1</w:t>
      </w:r>
      <w:r w:rsidR="003627D7" w:rsidRPr="000C3979">
        <w:rPr>
          <w:rFonts w:ascii="Times" w:hAnsi="Times"/>
          <w:sz w:val="24"/>
          <w:szCs w:val="24"/>
          <w:vertAlign w:val="superscript"/>
        </w:rPr>
        <w:t>1</w:t>
      </w:r>
      <w:r w:rsidR="000C3BE0" w:rsidRPr="000C3979">
        <w:rPr>
          <w:rFonts w:ascii="Times" w:hAnsi="Times"/>
          <w:sz w:val="24"/>
          <w:szCs w:val="24"/>
        </w:rPr>
        <w:t xml:space="preserve"> </w:t>
      </w:r>
      <w:r w:rsidR="007D44EF" w:rsidRPr="000C3979">
        <w:rPr>
          <w:rFonts w:ascii="Times" w:hAnsi="Times"/>
          <w:sz w:val="24"/>
          <w:szCs w:val="24"/>
        </w:rPr>
        <w:t xml:space="preserve"> </w:t>
      </w:r>
      <w:r w:rsidR="007257EF" w:rsidRPr="000C3979">
        <w:rPr>
          <w:rFonts w:ascii="Times" w:hAnsi="Times"/>
          <w:sz w:val="24"/>
          <w:szCs w:val="24"/>
        </w:rPr>
        <w:t>The principal energy savings are from electricity, with natural gas and other fuels providing additional savings (</w:t>
      </w:r>
      <w:r w:rsidR="000C3BE0" w:rsidRPr="000C3979">
        <w:rPr>
          <w:rFonts w:ascii="Times" w:hAnsi="Times"/>
          <w:sz w:val="24"/>
          <w:szCs w:val="24"/>
        </w:rPr>
        <w:t xml:space="preserve">Figure </w:t>
      </w:r>
      <w:r w:rsidR="00B36E1A" w:rsidRPr="000C3979">
        <w:rPr>
          <w:rFonts w:ascii="Times" w:hAnsi="Times"/>
          <w:sz w:val="24"/>
          <w:szCs w:val="24"/>
        </w:rPr>
        <w:t>9</w:t>
      </w:r>
      <w:r w:rsidR="007257EF" w:rsidRPr="000C3979">
        <w:rPr>
          <w:rFonts w:ascii="Times" w:hAnsi="Times"/>
          <w:sz w:val="24"/>
          <w:szCs w:val="24"/>
        </w:rPr>
        <w:t>)</w:t>
      </w:r>
      <w:r w:rsidR="000C3BE0" w:rsidRPr="000C3979">
        <w:rPr>
          <w:rFonts w:ascii="Times" w:hAnsi="Times"/>
          <w:sz w:val="24"/>
          <w:szCs w:val="24"/>
        </w:rPr>
        <w:t>.</w:t>
      </w:r>
      <w:r w:rsidR="004731D3" w:rsidRPr="000C3979">
        <w:rPr>
          <w:rFonts w:ascii="Times" w:hAnsi="Times"/>
          <w:sz w:val="24"/>
          <w:szCs w:val="24"/>
        </w:rPr>
        <w:t xml:space="preserve"> </w:t>
      </w:r>
      <w:r w:rsidR="007257EF" w:rsidRPr="000C3979">
        <w:rPr>
          <w:rFonts w:ascii="Times" w:hAnsi="Times"/>
          <w:sz w:val="24"/>
          <w:szCs w:val="24"/>
        </w:rPr>
        <w:t xml:space="preserve"> </w:t>
      </w:r>
      <w:r w:rsidR="00416025" w:rsidRPr="000C3979">
        <w:rPr>
          <w:rFonts w:ascii="Times" w:hAnsi="Times"/>
          <w:sz w:val="24"/>
          <w:szCs w:val="24"/>
        </w:rPr>
        <w:t>The rapid growth of c</w:t>
      </w:r>
      <w:r w:rsidR="007257EF" w:rsidRPr="000C3979">
        <w:rPr>
          <w:rFonts w:ascii="Times" w:hAnsi="Times"/>
          <w:sz w:val="24"/>
          <w:szCs w:val="24"/>
        </w:rPr>
        <w:t>ommercial</w:t>
      </w:r>
      <w:r w:rsidR="00877A17" w:rsidRPr="000C3979">
        <w:rPr>
          <w:rFonts w:ascii="Times" w:hAnsi="Times"/>
          <w:sz w:val="24"/>
          <w:szCs w:val="24"/>
        </w:rPr>
        <w:t xml:space="preserve"> energy consumption </w:t>
      </w:r>
      <w:r w:rsidR="00416025" w:rsidRPr="000C3979">
        <w:rPr>
          <w:rFonts w:ascii="Times" w:hAnsi="Times"/>
          <w:sz w:val="24"/>
          <w:szCs w:val="24"/>
        </w:rPr>
        <w:t xml:space="preserve">forecast for </w:t>
      </w:r>
      <w:r w:rsidR="005D29BC" w:rsidRPr="000C3979">
        <w:rPr>
          <w:rFonts w:ascii="Times" w:hAnsi="Times"/>
          <w:sz w:val="24"/>
          <w:szCs w:val="24"/>
        </w:rPr>
        <w:t>North Carolina</w:t>
      </w:r>
      <w:r w:rsidR="00416025" w:rsidRPr="000C3979">
        <w:rPr>
          <w:rFonts w:ascii="Times" w:hAnsi="Times"/>
          <w:sz w:val="24"/>
          <w:szCs w:val="24"/>
        </w:rPr>
        <w:t xml:space="preserve"> </w:t>
      </w:r>
      <w:r w:rsidR="00877A17" w:rsidRPr="000C3979">
        <w:rPr>
          <w:rFonts w:ascii="Times" w:hAnsi="Times"/>
          <w:sz w:val="24"/>
          <w:szCs w:val="24"/>
        </w:rPr>
        <w:t xml:space="preserve">could </w:t>
      </w:r>
      <w:r w:rsidR="00B85B71" w:rsidRPr="000C3979">
        <w:rPr>
          <w:rFonts w:ascii="Times" w:hAnsi="Times"/>
          <w:sz w:val="24"/>
          <w:szCs w:val="24"/>
        </w:rPr>
        <w:t xml:space="preserve">be constrained to only modest growth with these </w:t>
      </w:r>
      <w:r w:rsidR="00416025" w:rsidRPr="000C3979">
        <w:rPr>
          <w:rFonts w:ascii="Times" w:hAnsi="Times"/>
          <w:sz w:val="24"/>
          <w:szCs w:val="24"/>
        </w:rPr>
        <w:t xml:space="preserve">two </w:t>
      </w:r>
      <w:r w:rsidR="00B85B71" w:rsidRPr="000C3979">
        <w:rPr>
          <w:rFonts w:ascii="Times" w:hAnsi="Times"/>
          <w:sz w:val="24"/>
          <w:szCs w:val="24"/>
        </w:rPr>
        <w:t>energy efficiency policies</w:t>
      </w:r>
      <w:r w:rsidR="00877A17" w:rsidRPr="00C97F56">
        <w:rPr>
          <w:rFonts w:ascii="Times" w:hAnsi="Times"/>
          <w:sz w:val="24"/>
          <w:szCs w:val="24"/>
        </w:rPr>
        <w:t xml:space="preserve">.  </w:t>
      </w:r>
    </w:p>
    <w:p w:rsidR="00877A17" w:rsidRPr="002C3AD3" w:rsidRDefault="00877A17" w:rsidP="007046CE">
      <w:pPr>
        <w:spacing w:after="0"/>
        <w:rPr>
          <w:rFonts w:ascii="Times" w:hAnsi="Times"/>
          <w:sz w:val="4"/>
          <w:szCs w:val="4"/>
        </w:rPr>
      </w:pPr>
    </w:p>
    <w:tbl>
      <w:tblPr>
        <w:tblW w:w="10530" w:type="dxa"/>
        <w:tblInd w:w="-252" w:type="dxa"/>
        <w:tblLayout w:type="fixed"/>
        <w:tblLook w:val="04A0"/>
      </w:tblPr>
      <w:tblGrid>
        <w:gridCol w:w="5040"/>
        <w:gridCol w:w="5490"/>
      </w:tblGrid>
      <w:tr w:rsidR="000C3BE0" w:rsidRPr="00C97F56">
        <w:tc>
          <w:tcPr>
            <w:tcW w:w="5040" w:type="dxa"/>
          </w:tcPr>
          <w:p w:rsidR="000C3BE0" w:rsidRPr="00C97F56" w:rsidRDefault="005D29BC" w:rsidP="007D44EF">
            <w:pPr>
              <w:spacing w:after="0"/>
              <w:jc w:val="center"/>
              <w:rPr>
                <w:rFonts w:ascii="Times" w:hAnsi="Times"/>
                <w:b/>
                <w:noProof/>
                <w:sz w:val="24"/>
                <w:szCs w:val="24"/>
              </w:rPr>
            </w:pPr>
            <w:r w:rsidRPr="00C97F56">
              <w:rPr>
                <w:rFonts w:ascii="Times" w:hAnsi="Times"/>
                <w:b/>
                <w:noProof/>
                <w:sz w:val="24"/>
                <w:szCs w:val="24"/>
                <w:lang w:eastAsia="en-US"/>
              </w:rPr>
              <w:drawing>
                <wp:inline distT="0" distB="0" distL="0" distR="0">
                  <wp:extent cx="3114675" cy="200977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3BE0" w:rsidRPr="00C97F56" w:rsidRDefault="000C3BE0" w:rsidP="007D44EF">
            <w:pPr>
              <w:spacing w:after="0"/>
              <w:jc w:val="center"/>
              <w:rPr>
                <w:rFonts w:ascii="Times" w:hAnsi="Times"/>
                <w:b/>
                <w:sz w:val="24"/>
                <w:szCs w:val="24"/>
              </w:rPr>
            </w:pPr>
            <w:r w:rsidRPr="00C97F56">
              <w:rPr>
                <w:rFonts w:ascii="Times" w:hAnsi="Times"/>
                <w:b/>
                <w:noProof/>
                <w:sz w:val="24"/>
                <w:szCs w:val="24"/>
              </w:rPr>
              <w:t xml:space="preserve">Figure </w:t>
            </w:r>
            <w:r w:rsidR="00B36E1A" w:rsidRPr="00C97F56">
              <w:rPr>
                <w:rFonts w:ascii="Times" w:hAnsi="Times"/>
                <w:b/>
                <w:noProof/>
                <w:sz w:val="24"/>
                <w:szCs w:val="24"/>
              </w:rPr>
              <w:t>8</w:t>
            </w:r>
            <w:r w:rsidRPr="00C97F56">
              <w:rPr>
                <w:rFonts w:ascii="Times" w:hAnsi="Times"/>
                <w:b/>
                <w:noProof/>
                <w:sz w:val="24"/>
                <w:szCs w:val="24"/>
              </w:rPr>
              <w:t>: Commercial Sector Savings</w:t>
            </w:r>
          </w:p>
        </w:tc>
        <w:tc>
          <w:tcPr>
            <w:tcW w:w="5490" w:type="dxa"/>
          </w:tcPr>
          <w:p w:rsidR="000C3BE0" w:rsidRPr="00C97F56" w:rsidRDefault="005D29BC" w:rsidP="007D44EF">
            <w:pPr>
              <w:spacing w:after="0"/>
              <w:jc w:val="center"/>
              <w:rPr>
                <w:rFonts w:ascii="Times" w:hAnsi="Times"/>
                <w:b/>
                <w:noProof/>
                <w:sz w:val="24"/>
                <w:szCs w:val="24"/>
              </w:rPr>
            </w:pPr>
            <w:r w:rsidRPr="00C97F56">
              <w:rPr>
                <w:rFonts w:ascii="Times" w:hAnsi="Times"/>
                <w:b/>
                <w:noProof/>
                <w:sz w:val="24"/>
                <w:szCs w:val="24"/>
                <w:lang w:eastAsia="en-US"/>
              </w:rPr>
              <w:drawing>
                <wp:inline distT="0" distB="0" distL="0" distR="0">
                  <wp:extent cx="3162300" cy="20193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3BE0" w:rsidRPr="00C97F56" w:rsidRDefault="000C3BE0" w:rsidP="007D44EF">
            <w:pPr>
              <w:spacing w:after="0"/>
              <w:jc w:val="center"/>
              <w:rPr>
                <w:rFonts w:ascii="Times" w:hAnsi="Times"/>
                <w:b/>
                <w:noProof/>
                <w:sz w:val="24"/>
                <w:szCs w:val="24"/>
              </w:rPr>
            </w:pPr>
            <w:r w:rsidRPr="00C97F56">
              <w:rPr>
                <w:rFonts w:ascii="Times" w:hAnsi="Times"/>
                <w:b/>
                <w:noProof/>
                <w:sz w:val="24"/>
                <w:szCs w:val="24"/>
              </w:rPr>
              <w:t xml:space="preserve">Figure </w:t>
            </w:r>
            <w:r w:rsidR="00B36E1A" w:rsidRPr="00C97F56">
              <w:rPr>
                <w:rFonts w:ascii="Times" w:hAnsi="Times"/>
                <w:b/>
                <w:noProof/>
                <w:sz w:val="24"/>
                <w:szCs w:val="24"/>
              </w:rPr>
              <w:t>9</w:t>
            </w:r>
            <w:r w:rsidRPr="00C97F56">
              <w:rPr>
                <w:rFonts w:ascii="Times" w:hAnsi="Times"/>
                <w:b/>
                <w:noProof/>
                <w:sz w:val="24"/>
                <w:szCs w:val="24"/>
              </w:rPr>
              <w:t>: Commercial Sector Savings by Fuel Type</w:t>
            </w:r>
          </w:p>
        </w:tc>
      </w:tr>
    </w:tbl>
    <w:p w:rsidR="00AD08C4" w:rsidRDefault="00AD08C4" w:rsidP="002C3AD3">
      <w:pPr>
        <w:spacing w:after="0" w:line="240" w:lineRule="auto"/>
        <w:rPr>
          <w:rFonts w:ascii="Times" w:hAnsi="Times"/>
          <w:b/>
          <w:i/>
          <w:sz w:val="24"/>
          <w:szCs w:val="24"/>
        </w:rPr>
      </w:pPr>
    </w:p>
    <w:p w:rsidR="000808A7" w:rsidRPr="00C97F56" w:rsidRDefault="000808A7" w:rsidP="00DC39B5">
      <w:pPr>
        <w:spacing w:after="0" w:line="240" w:lineRule="auto"/>
        <w:rPr>
          <w:rFonts w:ascii="Times" w:hAnsi="Times"/>
          <w:b/>
          <w:i/>
          <w:sz w:val="24"/>
          <w:szCs w:val="24"/>
        </w:rPr>
      </w:pPr>
      <w:r w:rsidRPr="00C97F56">
        <w:rPr>
          <w:rFonts w:ascii="Times" w:hAnsi="Times"/>
          <w:b/>
          <w:i/>
          <w:sz w:val="24"/>
          <w:szCs w:val="24"/>
        </w:rPr>
        <w:t>Industrial Sector</w:t>
      </w:r>
    </w:p>
    <w:p w:rsidR="001119CF" w:rsidRPr="00C97F56" w:rsidRDefault="005A65D4" w:rsidP="007046CE">
      <w:pPr>
        <w:spacing w:after="0"/>
        <w:rPr>
          <w:rFonts w:ascii="Times" w:hAnsi="Times"/>
          <w:sz w:val="24"/>
          <w:szCs w:val="24"/>
        </w:rPr>
      </w:pPr>
      <w:r w:rsidRPr="00C97F56">
        <w:rPr>
          <w:rFonts w:ascii="Times" w:hAnsi="Times"/>
          <w:sz w:val="24"/>
          <w:szCs w:val="24"/>
        </w:rPr>
        <w:t xml:space="preserve">The </w:t>
      </w:r>
      <w:r w:rsidR="001119CF" w:rsidRPr="00C97F56">
        <w:rPr>
          <w:rFonts w:ascii="Times" w:hAnsi="Times"/>
          <w:sz w:val="24"/>
          <w:szCs w:val="24"/>
        </w:rPr>
        <w:t xml:space="preserve">implementation of </w:t>
      </w:r>
      <w:r w:rsidR="00B66AAA" w:rsidRPr="00C97F56">
        <w:rPr>
          <w:rFonts w:ascii="Times" w:hAnsi="Times"/>
          <w:sz w:val="24"/>
          <w:szCs w:val="24"/>
        </w:rPr>
        <w:t xml:space="preserve">plant utility upgrades, process improvements, and combined heat and power </w:t>
      </w:r>
      <w:r w:rsidR="001119CF" w:rsidRPr="00C97F56">
        <w:rPr>
          <w:rFonts w:ascii="Times" w:hAnsi="Times"/>
          <w:sz w:val="24"/>
          <w:szCs w:val="24"/>
        </w:rPr>
        <w:t xml:space="preserve">policies in </w:t>
      </w:r>
      <w:r w:rsidR="007E75A4" w:rsidRPr="00C97F56">
        <w:rPr>
          <w:rFonts w:ascii="Times" w:hAnsi="Times"/>
          <w:sz w:val="24"/>
          <w:szCs w:val="24"/>
        </w:rPr>
        <w:t>North Carolina’s</w:t>
      </w:r>
      <w:r w:rsidR="001119CF" w:rsidRPr="00C97F56">
        <w:rPr>
          <w:rFonts w:ascii="Times" w:hAnsi="Times"/>
          <w:sz w:val="24"/>
          <w:szCs w:val="24"/>
        </w:rPr>
        <w:t xml:space="preserve"> industrial sector can reduce projected consumption by about </w:t>
      </w:r>
      <w:r w:rsidR="00E43B99">
        <w:rPr>
          <w:rFonts w:ascii="Times" w:hAnsi="Times"/>
          <w:sz w:val="24"/>
          <w:szCs w:val="24"/>
        </w:rPr>
        <w:t>6</w:t>
      </w:r>
      <w:r w:rsidR="001119CF" w:rsidRPr="00C97F56">
        <w:rPr>
          <w:rFonts w:ascii="Times" w:hAnsi="Times"/>
          <w:sz w:val="24"/>
          <w:szCs w:val="24"/>
        </w:rPr>
        <w:t xml:space="preserve">%  in 2020 </w:t>
      </w:r>
      <w:r w:rsidR="00E43B99" w:rsidRPr="00C97F56">
        <w:rPr>
          <w:rFonts w:ascii="Times" w:hAnsi="Times"/>
          <w:sz w:val="24"/>
          <w:szCs w:val="24"/>
        </w:rPr>
        <w:t>(</w:t>
      </w:r>
      <w:r w:rsidR="00E43B99">
        <w:rPr>
          <w:rFonts w:ascii="Times" w:hAnsi="Times"/>
          <w:sz w:val="24"/>
          <w:szCs w:val="24"/>
        </w:rPr>
        <w:t>42</w:t>
      </w:r>
      <w:r w:rsidR="00E43B99" w:rsidRPr="00C97F56">
        <w:rPr>
          <w:rFonts w:ascii="Times" w:hAnsi="Times"/>
          <w:sz w:val="24"/>
          <w:szCs w:val="24"/>
        </w:rPr>
        <w:t xml:space="preserve"> TBtu)</w:t>
      </w:r>
      <w:r w:rsidR="00E43B99">
        <w:rPr>
          <w:rFonts w:ascii="Times" w:hAnsi="Times"/>
          <w:sz w:val="24"/>
          <w:szCs w:val="24"/>
        </w:rPr>
        <w:t xml:space="preserve"> </w:t>
      </w:r>
      <w:r w:rsidR="001119CF" w:rsidRPr="00C97F56">
        <w:rPr>
          <w:rFonts w:ascii="Times" w:hAnsi="Times"/>
          <w:sz w:val="24"/>
          <w:szCs w:val="24"/>
        </w:rPr>
        <w:t>and</w:t>
      </w:r>
      <w:r w:rsidR="000C3979">
        <w:rPr>
          <w:rFonts w:ascii="Times" w:hAnsi="Times"/>
          <w:sz w:val="24"/>
          <w:szCs w:val="24"/>
        </w:rPr>
        <w:t xml:space="preserve"> 7% in</w:t>
      </w:r>
      <w:r w:rsidR="001119CF" w:rsidRPr="00C97F56">
        <w:rPr>
          <w:rFonts w:ascii="Times" w:hAnsi="Times"/>
          <w:sz w:val="24"/>
          <w:szCs w:val="24"/>
        </w:rPr>
        <w:t xml:space="preserve"> </w:t>
      </w:r>
      <w:r w:rsidR="00E43B99">
        <w:rPr>
          <w:rFonts w:ascii="Times" w:hAnsi="Times"/>
          <w:sz w:val="24"/>
          <w:szCs w:val="24"/>
        </w:rPr>
        <w:t>2030</w:t>
      </w:r>
      <w:r w:rsidR="001119CF" w:rsidRPr="00C97F56">
        <w:rPr>
          <w:rFonts w:ascii="Times" w:hAnsi="Times"/>
          <w:sz w:val="24"/>
          <w:szCs w:val="24"/>
        </w:rPr>
        <w:t xml:space="preserve"> (</w:t>
      </w:r>
      <w:r w:rsidR="00E43B99">
        <w:rPr>
          <w:rFonts w:ascii="Times" w:hAnsi="Times"/>
          <w:sz w:val="24"/>
          <w:szCs w:val="24"/>
        </w:rPr>
        <w:t>53</w:t>
      </w:r>
      <w:r w:rsidR="001119CF" w:rsidRPr="00C97F56">
        <w:rPr>
          <w:rFonts w:ascii="Times" w:hAnsi="Times"/>
          <w:sz w:val="24"/>
          <w:szCs w:val="24"/>
        </w:rPr>
        <w:t xml:space="preserve"> TBtu) </w:t>
      </w:r>
      <w:r w:rsidR="00222683" w:rsidRPr="00C97F56">
        <w:rPr>
          <w:rFonts w:ascii="Times" w:hAnsi="Times"/>
          <w:sz w:val="24"/>
          <w:szCs w:val="24"/>
        </w:rPr>
        <w:t>(Figure 10)</w:t>
      </w:r>
      <w:r w:rsidR="001119CF" w:rsidRPr="00C97F56">
        <w:rPr>
          <w:rFonts w:ascii="Times" w:hAnsi="Times"/>
          <w:sz w:val="24"/>
          <w:szCs w:val="24"/>
        </w:rPr>
        <w:t>.</w:t>
      </w:r>
      <w:r w:rsidR="00B85B71" w:rsidRPr="00C97F56">
        <w:rPr>
          <w:rFonts w:ascii="Times" w:hAnsi="Times"/>
          <w:sz w:val="24"/>
          <w:szCs w:val="24"/>
        </w:rPr>
        <w:t xml:space="preserve">  </w:t>
      </w:r>
      <w:r w:rsidR="00E50E38" w:rsidRPr="00C97F56">
        <w:rPr>
          <w:rFonts w:ascii="Times" w:hAnsi="Times"/>
          <w:sz w:val="24"/>
          <w:szCs w:val="24"/>
        </w:rPr>
        <w:t>T</w:t>
      </w:r>
      <w:r w:rsidR="00B85B71" w:rsidRPr="00C97F56">
        <w:rPr>
          <w:rFonts w:ascii="Times" w:hAnsi="Times"/>
          <w:sz w:val="24"/>
          <w:szCs w:val="24"/>
        </w:rPr>
        <w:t>he</w:t>
      </w:r>
      <w:r w:rsidR="001C5DB3" w:rsidRPr="00C97F56">
        <w:rPr>
          <w:rFonts w:ascii="Times" w:hAnsi="Times"/>
          <w:sz w:val="24"/>
          <w:szCs w:val="24"/>
        </w:rPr>
        <w:t xml:space="preserve"> industrial energy required by about </w:t>
      </w:r>
      <w:r w:rsidR="00E43B99">
        <w:rPr>
          <w:rFonts w:ascii="Times" w:hAnsi="Times"/>
          <w:sz w:val="24"/>
          <w:szCs w:val="24"/>
        </w:rPr>
        <w:t>61</w:t>
      </w:r>
      <w:r w:rsidR="001C5DB3" w:rsidRPr="00C97F56">
        <w:rPr>
          <w:rFonts w:ascii="Times" w:hAnsi="Times"/>
          <w:sz w:val="24"/>
          <w:szCs w:val="24"/>
        </w:rPr>
        <w:t xml:space="preserve"> average industrial facilitie</w:t>
      </w:r>
      <w:r w:rsidR="00B85B71" w:rsidRPr="00C97F56">
        <w:rPr>
          <w:rFonts w:ascii="Times" w:hAnsi="Times"/>
          <w:sz w:val="24"/>
          <w:szCs w:val="24"/>
        </w:rPr>
        <w:t>s is avoided</w:t>
      </w:r>
      <w:r w:rsidR="00E50E38" w:rsidRPr="00C97F56">
        <w:rPr>
          <w:rFonts w:ascii="Times" w:hAnsi="Times"/>
          <w:sz w:val="24"/>
          <w:szCs w:val="24"/>
        </w:rPr>
        <w:t xml:space="preserve"> in 2020</w:t>
      </w:r>
      <w:r w:rsidR="006A73E6" w:rsidRPr="00C97F56">
        <w:rPr>
          <w:rFonts w:ascii="Times" w:hAnsi="Times"/>
          <w:sz w:val="24"/>
          <w:szCs w:val="24"/>
        </w:rPr>
        <w:t>, or a</w:t>
      </w:r>
      <w:r w:rsidR="006643E7" w:rsidRPr="00C97F56">
        <w:rPr>
          <w:rFonts w:ascii="Times" w:hAnsi="Times"/>
          <w:sz w:val="24"/>
          <w:szCs w:val="24"/>
        </w:rPr>
        <w:t>verage annual bill savings of</w:t>
      </w:r>
      <w:r w:rsidR="006A73E6" w:rsidRPr="00C97F56">
        <w:rPr>
          <w:rFonts w:ascii="Times" w:hAnsi="Times"/>
          <w:sz w:val="24"/>
          <w:szCs w:val="24"/>
        </w:rPr>
        <w:t xml:space="preserve"> $</w:t>
      </w:r>
      <w:r w:rsidR="00167461" w:rsidRPr="00C97F56">
        <w:rPr>
          <w:rFonts w:ascii="Times" w:hAnsi="Times"/>
          <w:sz w:val="24"/>
          <w:szCs w:val="24"/>
        </w:rPr>
        <w:t>31,000</w:t>
      </w:r>
      <w:r w:rsidR="006A73E6" w:rsidRPr="00C97F56">
        <w:rPr>
          <w:rFonts w:ascii="Times" w:hAnsi="Times"/>
          <w:sz w:val="24"/>
          <w:szCs w:val="24"/>
        </w:rPr>
        <w:t xml:space="preserve"> per </w:t>
      </w:r>
      <w:r w:rsidR="006643E7" w:rsidRPr="00C97F56">
        <w:rPr>
          <w:rFonts w:ascii="Times" w:hAnsi="Times"/>
          <w:sz w:val="24"/>
          <w:szCs w:val="24"/>
        </w:rPr>
        <w:t>i</w:t>
      </w:r>
      <w:r w:rsidR="006A73E6" w:rsidRPr="00C97F56">
        <w:rPr>
          <w:rFonts w:ascii="Times" w:hAnsi="Times"/>
          <w:sz w:val="24"/>
          <w:szCs w:val="24"/>
        </w:rPr>
        <w:t>ndustrial facility</w:t>
      </w:r>
      <w:r w:rsidR="001C5DB3" w:rsidRPr="00C97F56">
        <w:rPr>
          <w:rFonts w:ascii="Times" w:hAnsi="Times"/>
          <w:sz w:val="24"/>
          <w:szCs w:val="24"/>
        </w:rPr>
        <w:t>.  The principal energy savings are from electricity, but natural gas savings could also occur, especially in 2020 (Figure 11)</w:t>
      </w:r>
      <w:r w:rsidR="00D821F3" w:rsidRPr="00C97F56">
        <w:rPr>
          <w:rFonts w:ascii="Times" w:hAnsi="Times"/>
          <w:sz w:val="24"/>
          <w:szCs w:val="24"/>
        </w:rPr>
        <w:t>.</w:t>
      </w:r>
      <w:r w:rsidR="00912840" w:rsidRPr="00C97F56">
        <w:rPr>
          <w:rFonts w:ascii="Times" w:hAnsi="Times"/>
          <w:sz w:val="24"/>
          <w:szCs w:val="24"/>
        </w:rPr>
        <w:t xml:space="preserve">  </w:t>
      </w:r>
      <w:r w:rsidR="00343372" w:rsidRPr="00C97F56">
        <w:rPr>
          <w:rFonts w:ascii="Times" w:hAnsi="Times"/>
          <w:sz w:val="24"/>
          <w:szCs w:val="24"/>
        </w:rPr>
        <w:t>T</w:t>
      </w:r>
      <w:r w:rsidR="00E50E38" w:rsidRPr="00C97F56">
        <w:rPr>
          <w:rFonts w:ascii="Times" w:hAnsi="Times"/>
          <w:sz w:val="24"/>
          <w:szCs w:val="24"/>
        </w:rPr>
        <w:t xml:space="preserve">hese </w:t>
      </w:r>
      <w:r w:rsidR="00416025" w:rsidRPr="00C97F56">
        <w:rPr>
          <w:rFonts w:ascii="Times" w:hAnsi="Times"/>
          <w:sz w:val="24"/>
          <w:szCs w:val="24"/>
        </w:rPr>
        <w:t xml:space="preserve">three </w:t>
      </w:r>
      <w:r w:rsidR="00E50E38" w:rsidRPr="00C97F56">
        <w:rPr>
          <w:rFonts w:ascii="Times" w:hAnsi="Times"/>
          <w:sz w:val="24"/>
          <w:szCs w:val="24"/>
        </w:rPr>
        <w:t>energy</w:t>
      </w:r>
      <w:r w:rsidR="001C5DB3" w:rsidRPr="00C97F56">
        <w:rPr>
          <w:rFonts w:ascii="Times" w:hAnsi="Times"/>
          <w:sz w:val="24"/>
          <w:szCs w:val="24"/>
        </w:rPr>
        <w:t xml:space="preserve"> efficiency policies</w:t>
      </w:r>
      <w:r w:rsidR="00343372" w:rsidRPr="00C97F56">
        <w:rPr>
          <w:rFonts w:ascii="Times" w:hAnsi="Times"/>
          <w:sz w:val="24"/>
          <w:szCs w:val="24"/>
        </w:rPr>
        <w:t xml:space="preserve"> </w:t>
      </w:r>
      <w:r w:rsidR="00416025" w:rsidRPr="00C97F56">
        <w:rPr>
          <w:rFonts w:ascii="Times" w:hAnsi="Times"/>
          <w:sz w:val="24"/>
          <w:szCs w:val="24"/>
        </w:rPr>
        <w:t xml:space="preserve">could significantly </w:t>
      </w:r>
      <w:r w:rsidR="00343372" w:rsidRPr="00C97F56">
        <w:rPr>
          <w:rFonts w:ascii="Times" w:hAnsi="Times"/>
          <w:sz w:val="24"/>
          <w:szCs w:val="24"/>
        </w:rPr>
        <w:t xml:space="preserve">reduce the </w:t>
      </w:r>
      <w:r w:rsidR="00416025" w:rsidRPr="00C97F56">
        <w:rPr>
          <w:rFonts w:ascii="Times" w:hAnsi="Times"/>
          <w:sz w:val="24"/>
          <w:szCs w:val="24"/>
        </w:rPr>
        <w:t xml:space="preserve">growing consumption of </w:t>
      </w:r>
      <w:r w:rsidR="001C5DB3" w:rsidRPr="00C97F56">
        <w:rPr>
          <w:rFonts w:ascii="Times" w:hAnsi="Times"/>
          <w:sz w:val="24"/>
          <w:szCs w:val="24"/>
        </w:rPr>
        <w:t>industrial energy</w:t>
      </w:r>
      <w:r w:rsidR="004C7D1A">
        <w:rPr>
          <w:rFonts w:ascii="Times" w:hAnsi="Times"/>
          <w:sz w:val="24"/>
          <w:szCs w:val="24"/>
        </w:rPr>
        <w:t xml:space="preserve"> projected</w:t>
      </w:r>
      <w:r w:rsidR="001C5DB3" w:rsidRPr="00C97F56">
        <w:rPr>
          <w:rFonts w:ascii="Times" w:hAnsi="Times"/>
          <w:sz w:val="24"/>
          <w:szCs w:val="24"/>
        </w:rPr>
        <w:t xml:space="preserve"> over the next two decades.  </w:t>
      </w:r>
    </w:p>
    <w:tbl>
      <w:tblPr>
        <w:tblW w:w="10710" w:type="dxa"/>
        <w:tblInd w:w="-252" w:type="dxa"/>
        <w:tblLayout w:type="fixed"/>
        <w:tblLook w:val="04A0"/>
      </w:tblPr>
      <w:tblGrid>
        <w:gridCol w:w="5130"/>
        <w:gridCol w:w="5580"/>
      </w:tblGrid>
      <w:tr w:rsidR="000C3BE0" w:rsidRPr="00C97F56">
        <w:tc>
          <w:tcPr>
            <w:tcW w:w="5130" w:type="dxa"/>
          </w:tcPr>
          <w:p w:rsidR="000C3BE0" w:rsidRPr="00C97F56" w:rsidRDefault="00E43B99" w:rsidP="007D44EF">
            <w:pPr>
              <w:spacing w:after="0"/>
              <w:jc w:val="center"/>
              <w:rPr>
                <w:rFonts w:ascii="Times" w:hAnsi="Times"/>
                <w:b/>
                <w:noProof/>
                <w:sz w:val="24"/>
                <w:szCs w:val="24"/>
              </w:rPr>
            </w:pPr>
            <w:r w:rsidRPr="00E43B99">
              <w:rPr>
                <w:rFonts w:ascii="Times" w:hAnsi="Times"/>
                <w:b/>
                <w:noProof/>
                <w:sz w:val="24"/>
                <w:szCs w:val="24"/>
                <w:lang w:eastAsia="en-US"/>
              </w:rPr>
              <w:drawing>
                <wp:inline distT="0" distB="0" distL="0" distR="0">
                  <wp:extent cx="3095625" cy="1933575"/>
                  <wp:effectExtent l="0" t="0" r="9525" b="0"/>
                  <wp:docPr id="5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3BE0" w:rsidRPr="00C97F56" w:rsidRDefault="000C3BE0" w:rsidP="007D44EF">
            <w:pPr>
              <w:spacing w:after="0"/>
              <w:jc w:val="center"/>
              <w:rPr>
                <w:rFonts w:ascii="Times" w:hAnsi="Times"/>
                <w:b/>
                <w:sz w:val="24"/>
                <w:szCs w:val="24"/>
              </w:rPr>
            </w:pPr>
            <w:r w:rsidRPr="00C97F56">
              <w:rPr>
                <w:rFonts w:ascii="Times" w:hAnsi="Times"/>
                <w:b/>
                <w:noProof/>
                <w:sz w:val="24"/>
                <w:szCs w:val="24"/>
              </w:rPr>
              <w:t xml:space="preserve">Figure </w:t>
            </w:r>
            <w:r w:rsidR="0022370A" w:rsidRPr="00C97F56">
              <w:rPr>
                <w:rFonts w:ascii="Times" w:hAnsi="Times"/>
                <w:b/>
                <w:noProof/>
                <w:sz w:val="24"/>
                <w:szCs w:val="24"/>
              </w:rPr>
              <w:t>10</w:t>
            </w:r>
            <w:r w:rsidRPr="00C97F56">
              <w:rPr>
                <w:rFonts w:ascii="Times" w:hAnsi="Times"/>
                <w:b/>
                <w:noProof/>
                <w:sz w:val="24"/>
                <w:szCs w:val="24"/>
              </w:rPr>
              <w:t xml:space="preserve">: </w:t>
            </w:r>
            <w:r w:rsidRPr="00C97F56">
              <w:rPr>
                <w:rFonts w:ascii="Times" w:hAnsi="Times"/>
                <w:b/>
                <w:sz w:val="24"/>
                <w:szCs w:val="24"/>
              </w:rPr>
              <w:t>Industrial</w:t>
            </w:r>
            <w:r w:rsidRPr="00C97F56">
              <w:rPr>
                <w:rFonts w:ascii="Times" w:hAnsi="Times"/>
                <w:sz w:val="24"/>
                <w:szCs w:val="24"/>
              </w:rPr>
              <w:t xml:space="preserve"> </w:t>
            </w:r>
            <w:r w:rsidRPr="00C97F56">
              <w:rPr>
                <w:rFonts w:ascii="Times" w:hAnsi="Times"/>
                <w:b/>
                <w:noProof/>
                <w:sz w:val="24"/>
                <w:szCs w:val="24"/>
              </w:rPr>
              <w:t>Sector Savings</w:t>
            </w:r>
          </w:p>
        </w:tc>
        <w:tc>
          <w:tcPr>
            <w:tcW w:w="5580" w:type="dxa"/>
          </w:tcPr>
          <w:p w:rsidR="000C3BE0" w:rsidRPr="00C97F56" w:rsidRDefault="00E43B99" w:rsidP="007D44EF">
            <w:pPr>
              <w:spacing w:after="0"/>
              <w:jc w:val="center"/>
              <w:rPr>
                <w:rFonts w:ascii="Times" w:hAnsi="Times"/>
                <w:b/>
                <w:noProof/>
                <w:sz w:val="24"/>
                <w:szCs w:val="24"/>
              </w:rPr>
            </w:pPr>
            <w:r w:rsidRPr="00E43B99">
              <w:rPr>
                <w:rFonts w:ascii="Times" w:hAnsi="Times"/>
                <w:b/>
                <w:noProof/>
                <w:sz w:val="24"/>
                <w:szCs w:val="24"/>
                <w:lang w:eastAsia="en-US"/>
              </w:rPr>
              <w:drawing>
                <wp:inline distT="0" distB="0" distL="0" distR="0">
                  <wp:extent cx="3324225" cy="1943100"/>
                  <wp:effectExtent l="0" t="0" r="0" b="0"/>
                  <wp:docPr id="6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3BE0" w:rsidRPr="00C97F56" w:rsidRDefault="000C3BE0" w:rsidP="007D44EF">
            <w:pPr>
              <w:spacing w:after="0"/>
              <w:jc w:val="center"/>
              <w:rPr>
                <w:rFonts w:ascii="Times" w:hAnsi="Times"/>
                <w:b/>
                <w:noProof/>
                <w:sz w:val="24"/>
                <w:szCs w:val="24"/>
              </w:rPr>
            </w:pPr>
            <w:r w:rsidRPr="00C97F56">
              <w:rPr>
                <w:rFonts w:ascii="Times" w:hAnsi="Times"/>
                <w:b/>
                <w:noProof/>
                <w:sz w:val="24"/>
                <w:szCs w:val="24"/>
              </w:rPr>
              <w:t xml:space="preserve">Figure </w:t>
            </w:r>
            <w:r w:rsidR="0022370A" w:rsidRPr="00C97F56">
              <w:rPr>
                <w:rFonts w:ascii="Times" w:hAnsi="Times"/>
                <w:b/>
                <w:noProof/>
                <w:sz w:val="24"/>
                <w:szCs w:val="24"/>
              </w:rPr>
              <w:t>11</w:t>
            </w:r>
            <w:r w:rsidRPr="00C97F56">
              <w:rPr>
                <w:rFonts w:ascii="Times" w:hAnsi="Times"/>
                <w:b/>
                <w:noProof/>
                <w:sz w:val="24"/>
                <w:szCs w:val="24"/>
              </w:rPr>
              <w:t xml:space="preserve">: </w:t>
            </w:r>
            <w:r w:rsidRPr="00C97F56">
              <w:rPr>
                <w:rFonts w:ascii="Times" w:hAnsi="Times"/>
                <w:b/>
                <w:sz w:val="24"/>
                <w:szCs w:val="24"/>
              </w:rPr>
              <w:t>Industrial</w:t>
            </w:r>
            <w:r w:rsidRPr="00C97F56">
              <w:rPr>
                <w:rFonts w:ascii="Times" w:hAnsi="Times"/>
                <w:sz w:val="24"/>
                <w:szCs w:val="24"/>
              </w:rPr>
              <w:t xml:space="preserve"> </w:t>
            </w:r>
            <w:r w:rsidRPr="00C97F56">
              <w:rPr>
                <w:rFonts w:ascii="Times" w:hAnsi="Times"/>
                <w:b/>
                <w:noProof/>
                <w:sz w:val="24"/>
                <w:szCs w:val="24"/>
              </w:rPr>
              <w:t>Sector Savings by Fuel Typ</w:t>
            </w:r>
            <w:r w:rsidR="007046CE" w:rsidRPr="00C97F56">
              <w:rPr>
                <w:rFonts w:ascii="Times" w:hAnsi="Times"/>
                <w:b/>
                <w:noProof/>
                <w:sz w:val="24"/>
                <w:szCs w:val="24"/>
              </w:rPr>
              <w:t>e</w:t>
            </w:r>
          </w:p>
        </w:tc>
      </w:tr>
    </w:tbl>
    <w:p w:rsidR="00951FA6" w:rsidRPr="00C97F56" w:rsidRDefault="00951FA6" w:rsidP="00140DDA">
      <w:pPr>
        <w:spacing w:after="0" w:line="240" w:lineRule="auto"/>
        <w:rPr>
          <w:rFonts w:ascii="Times New Roman" w:hAnsi="Times New Roman"/>
          <w:b/>
          <w:sz w:val="24"/>
          <w:szCs w:val="24"/>
        </w:rPr>
      </w:pPr>
      <w:r w:rsidRPr="00C97F56">
        <w:rPr>
          <w:rFonts w:ascii="Times New Roman" w:hAnsi="Times New Roman"/>
          <w:b/>
          <w:sz w:val="24"/>
        </w:rPr>
        <w:t>Efficient Technology Opportunities</w:t>
      </w:r>
    </w:p>
    <w:p w:rsidR="00215695" w:rsidRPr="00C97F56" w:rsidRDefault="00DC39B5" w:rsidP="00DC39B5">
      <w:pPr>
        <w:pStyle w:val="Default"/>
        <w:spacing w:line="276" w:lineRule="auto"/>
        <w:rPr>
          <w:color w:val="auto"/>
        </w:rPr>
      </w:pPr>
      <w:r w:rsidRPr="00C97F56">
        <w:rPr>
          <w:color w:val="auto"/>
        </w:rPr>
        <w:t xml:space="preserve">The </w:t>
      </w:r>
      <w:r w:rsidR="003F54A7" w:rsidRPr="00C97F56">
        <w:rPr>
          <w:color w:val="auto"/>
        </w:rPr>
        <w:t xml:space="preserve">projected </w:t>
      </w:r>
      <w:r w:rsidR="0098516F" w:rsidRPr="00C97F56">
        <w:rPr>
          <w:color w:val="auto"/>
        </w:rPr>
        <w:t>energy-</w:t>
      </w:r>
      <w:r w:rsidRPr="00C97F56">
        <w:rPr>
          <w:color w:val="auto"/>
        </w:rPr>
        <w:t xml:space="preserve">efficiency potential can be realized through </w:t>
      </w:r>
      <w:r w:rsidR="00951FA6" w:rsidRPr="00C97F56">
        <w:rPr>
          <w:color w:val="auto"/>
        </w:rPr>
        <w:t xml:space="preserve">an array of </w:t>
      </w:r>
      <w:r w:rsidRPr="00C97F56">
        <w:rPr>
          <w:color w:val="auto"/>
        </w:rPr>
        <w:t xml:space="preserve">new and existing technologies.  </w:t>
      </w:r>
      <w:r w:rsidR="00215695" w:rsidRPr="00C97F56">
        <w:rPr>
          <w:i/>
          <w:color w:val="auto"/>
        </w:rPr>
        <w:t xml:space="preserve">Energy Efficiency in the South </w:t>
      </w:r>
      <w:r w:rsidR="00140DDA" w:rsidRPr="00C97F56">
        <w:rPr>
          <w:color w:val="auto"/>
        </w:rPr>
        <w:t>describes</w:t>
      </w:r>
      <w:r w:rsidR="00215695" w:rsidRPr="00C97F56">
        <w:rPr>
          <w:color w:val="auto"/>
        </w:rPr>
        <w:t xml:space="preserve"> a number of these.</w:t>
      </w:r>
    </w:p>
    <w:p w:rsidR="00215695" w:rsidRPr="00C97F56" w:rsidRDefault="00215695" w:rsidP="00DC39B5">
      <w:pPr>
        <w:pStyle w:val="Default"/>
        <w:spacing w:line="276" w:lineRule="auto"/>
        <w:rPr>
          <w:color w:val="auto"/>
        </w:rPr>
      </w:pPr>
    </w:p>
    <w:p w:rsidR="00DC39B5" w:rsidRPr="00C97F56" w:rsidRDefault="003F54A7" w:rsidP="00DC39B5">
      <w:pPr>
        <w:pStyle w:val="Default"/>
        <w:spacing w:line="276" w:lineRule="auto"/>
        <w:rPr>
          <w:color w:val="auto"/>
        </w:rPr>
      </w:pPr>
      <w:r w:rsidRPr="00C97F56">
        <w:rPr>
          <w:color w:val="auto"/>
        </w:rPr>
        <w:t>E</w:t>
      </w:r>
      <w:r w:rsidR="00DC39B5" w:rsidRPr="00C97F56">
        <w:rPr>
          <w:color w:val="auto"/>
        </w:rPr>
        <w:t xml:space="preserve">merging residential products can provide greater energy savings without sacrificing performance.  For instance, </w:t>
      </w:r>
      <w:r w:rsidR="00044425" w:rsidRPr="00C97F56">
        <w:rPr>
          <w:color w:val="auto"/>
        </w:rPr>
        <w:t xml:space="preserve">currently available </w:t>
      </w:r>
      <w:r w:rsidR="00DC39B5" w:rsidRPr="00C97F56">
        <w:rPr>
          <w:color w:val="auto"/>
        </w:rPr>
        <w:t xml:space="preserve">heat pump water heaters can cut annual energy costs for water heating </w:t>
      </w:r>
      <w:r w:rsidR="00501F61">
        <w:rPr>
          <w:color w:val="auto"/>
        </w:rPr>
        <w:t xml:space="preserve">up to </w:t>
      </w:r>
      <w:r w:rsidR="00DC39B5" w:rsidRPr="00C97F56">
        <w:rPr>
          <w:color w:val="auto"/>
        </w:rPr>
        <w:t>62%.</w:t>
      </w:r>
      <w:r w:rsidR="00F94448" w:rsidRPr="00C97F56">
        <w:rPr>
          <w:color w:val="auto"/>
          <w:szCs w:val="23"/>
          <w:vertAlign w:val="superscript"/>
        </w:rPr>
        <w:t>1</w:t>
      </w:r>
      <w:r w:rsidR="003627D7">
        <w:rPr>
          <w:color w:val="auto"/>
          <w:szCs w:val="23"/>
          <w:vertAlign w:val="superscript"/>
        </w:rPr>
        <w:t>2</w:t>
      </w:r>
      <w:r w:rsidR="00F94448" w:rsidRPr="00C97F56">
        <w:rPr>
          <w:color w:val="auto"/>
        </w:rPr>
        <w:t xml:space="preserve"> </w:t>
      </w:r>
      <w:r w:rsidR="00DC39B5" w:rsidRPr="00C97F56">
        <w:rPr>
          <w:color w:val="auto"/>
        </w:rPr>
        <w:t xml:space="preserve">  </w:t>
      </w:r>
    </w:p>
    <w:p w:rsidR="00DC39B5" w:rsidRPr="00C97F56" w:rsidRDefault="00DC39B5" w:rsidP="00DC39B5">
      <w:pPr>
        <w:pStyle w:val="Default"/>
        <w:spacing w:line="276" w:lineRule="auto"/>
        <w:rPr>
          <w:color w:val="auto"/>
        </w:rPr>
      </w:pPr>
    </w:p>
    <w:p w:rsidR="00DC39B5" w:rsidRPr="00C97F56" w:rsidRDefault="00044425" w:rsidP="00DC39B5">
      <w:pPr>
        <w:pStyle w:val="Default"/>
        <w:spacing w:line="276" w:lineRule="auto"/>
        <w:rPr>
          <w:color w:val="auto"/>
        </w:rPr>
      </w:pPr>
      <w:r w:rsidRPr="00C97F56">
        <w:rPr>
          <w:color w:val="auto"/>
        </w:rPr>
        <w:t>Opportunities for com</w:t>
      </w:r>
      <w:r w:rsidR="00DC39B5" w:rsidRPr="00C97F56">
        <w:rPr>
          <w:color w:val="auto"/>
        </w:rPr>
        <w:t xml:space="preserve">mercial energy efficiency may be </w:t>
      </w:r>
      <w:r w:rsidRPr="00C97F56">
        <w:rPr>
          <w:color w:val="auto"/>
        </w:rPr>
        <w:t xml:space="preserve">obtained </w:t>
      </w:r>
      <w:r w:rsidR="00DC39B5" w:rsidRPr="00C97F56">
        <w:rPr>
          <w:color w:val="auto"/>
        </w:rPr>
        <w:t xml:space="preserve">through technologies like the geothermal heat pump (ground-source heat pump), which can reduce energy consumption </w:t>
      </w:r>
      <w:r w:rsidRPr="00C97F56">
        <w:rPr>
          <w:color w:val="auto"/>
        </w:rPr>
        <w:t xml:space="preserve">by </w:t>
      </w:r>
      <w:r w:rsidR="00DC39B5" w:rsidRPr="00C97F56">
        <w:rPr>
          <w:color w:val="auto"/>
        </w:rPr>
        <w:t xml:space="preserve">up to 44% </w:t>
      </w:r>
      <w:r w:rsidRPr="00C97F56">
        <w:rPr>
          <w:color w:val="auto"/>
        </w:rPr>
        <w:t xml:space="preserve">when </w:t>
      </w:r>
      <w:r w:rsidR="00DC39B5" w:rsidRPr="00C97F56">
        <w:rPr>
          <w:color w:val="auto"/>
        </w:rPr>
        <w:t xml:space="preserve">compared to air-source heat pumps and </w:t>
      </w:r>
      <w:r w:rsidRPr="00C97F56">
        <w:rPr>
          <w:color w:val="auto"/>
        </w:rPr>
        <w:t xml:space="preserve">by </w:t>
      </w:r>
      <w:r w:rsidR="00DC39B5" w:rsidRPr="00C97F56">
        <w:rPr>
          <w:color w:val="auto"/>
        </w:rPr>
        <w:t xml:space="preserve">up to 72% </w:t>
      </w:r>
      <w:r w:rsidRPr="00C97F56">
        <w:rPr>
          <w:color w:val="auto"/>
        </w:rPr>
        <w:t xml:space="preserve">when </w:t>
      </w:r>
      <w:r w:rsidR="00DC39B5" w:rsidRPr="00C97F56">
        <w:rPr>
          <w:color w:val="auto"/>
        </w:rPr>
        <w:t>compared to electric resistance heating with standard air-conditioning equipment.</w:t>
      </w:r>
      <w:r w:rsidRPr="00C97F56">
        <w:rPr>
          <w:color w:val="auto"/>
        </w:rPr>
        <w:t xml:space="preserve"> </w:t>
      </w:r>
      <w:r w:rsidR="00DC39B5" w:rsidRPr="00C97F56">
        <w:rPr>
          <w:color w:val="auto"/>
        </w:rPr>
        <w:t xml:space="preserve"> Though the install</w:t>
      </w:r>
      <w:r w:rsidRPr="00C97F56">
        <w:rPr>
          <w:color w:val="auto"/>
        </w:rPr>
        <w:t>ation</w:t>
      </w:r>
      <w:r w:rsidR="000E2A43" w:rsidRPr="00C97F56">
        <w:rPr>
          <w:color w:val="auto"/>
        </w:rPr>
        <w:t xml:space="preserve"> cost is </w:t>
      </w:r>
      <w:r w:rsidR="00DC39B5" w:rsidRPr="00C97F56">
        <w:rPr>
          <w:color w:val="auto"/>
        </w:rPr>
        <w:t xml:space="preserve">higher, the long lifetime of 20-25 years </w:t>
      </w:r>
      <w:r w:rsidRPr="00C97F56">
        <w:rPr>
          <w:color w:val="auto"/>
        </w:rPr>
        <w:t xml:space="preserve">ensures energy bill saving </w:t>
      </w:r>
      <w:r w:rsidR="00DC39B5" w:rsidRPr="00C97F56">
        <w:rPr>
          <w:color w:val="auto"/>
        </w:rPr>
        <w:t>benefit</w:t>
      </w:r>
      <w:r w:rsidRPr="00C97F56">
        <w:rPr>
          <w:color w:val="auto"/>
        </w:rPr>
        <w:t>s</w:t>
      </w:r>
      <w:r w:rsidR="00F94448" w:rsidRPr="00C97F56">
        <w:rPr>
          <w:color w:val="auto"/>
        </w:rPr>
        <w:t xml:space="preserve"> over time.</w:t>
      </w:r>
      <w:r w:rsidR="00F94448" w:rsidRPr="00C97F56">
        <w:rPr>
          <w:color w:val="auto"/>
          <w:szCs w:val="23"/>
          <w:vertAlign w:val="superscript"/>
        </w:rPr>
        <w:t>1</w:t>
      </w:r>
      <w:r w:rsidR="003627D7">
        <w:rPr>
          <w:color w:val="auto"/>
          <w:szCs w:val="23"/>
          <w:vertAlign w:val="superscript"/>
        </w:rPr>
        <w:t>3</w:t>
      </w:r>
    </w:p>
    <w:p w:rsidR="00DC39B5" w:rsidRPr="00C97F56" w:rsidRDefault="00DC39B5" w:rsidP="00DC39B5">
      <w:pPr>
        <w:pStyle w:val="HTMLPreformatted"/>
        <w:spacing w:line="276" w:lineRule="auto"/>
        <w:rPr>
          <w:rFonts w:ascii="Times New Roman" w:eastAsia="SimSun" w:hAnsi="Times New Roman" w:cs="Times New Roman"/>
          <w:sz w:val="24"/>
          <w:szCs w:val="24"/>
          <w:lang w:eastAsia="zh-CN"/>
        </w:rPr>
      </w:pPr>
    </w:p>
    <w:p w:rsidR="00CC079E" w:rsidRPr="00C97F56" w:rsidRDefault="00DC39B5" w:rsidP="00256A6B">
      <w:pPr>
        <w:pStyle w:val="HTMLPreformatted"/>
        <w:spacing w:line="276" w:lineRule="auto"/>
        <w:rPr>
          <w:rFonts w:ascii="Times" w:hAnsi="Times"/>
          <w:sz w:val="24"/>
        </w:rPr>
      </w:pPr>
      <w:r w:rsidRPr="00C97F56">
        <w:rPr>
          <w:rFonts w:ascii="Times" w:hAnsi="Times"/>
          <w:sz w:val="24"/>
        </w:rPr>
        <w:t xml:space="preserve">Super boilers, which </w:t>
      </w:r>
      <w:r w:rsidR="00044425" w:rsidRPr="00C97F56">
        <w:rPr>
          <w:rFonts w:ascii="Times" w:hAnsi="Times"/>
          <w:sz w:val="24"/>
        </w:rPr>
        <w:t>re</w:t>
      </w:r>
      <w:r w:rsidRPr="00C97F56">
        <w:rPr>
          <w:rFonts w:ascii="Times" w:hAnsi="Times"/>
          <w:sz w:val="24"/>
        </w:rPr>
        <w:t>present over 95 percent fuel-to-steam efficiency, can be implemented in the industrial sector.</w:t>
      </w:r>
      <w:r w:rsidR="00044425" w:rsidRPr="00C97F56">
        <w:rPr>
          <w:rFonts w:ascii="Times" w:hAnsi="Times"/>
          <w:sz w:val="24"/>
        </w:rPr>
        <w:t xml:space="preserve"> </w:t>
      </w:r>
      <w:r w:rsidRPr="00C97F56">
        <w:rPr>
          <w:rFonts w:ascii="Times" w:hAnsi="Times"/>
          <w:sz w:val="24"/>
        </w:rPr>
        <w:t xml:space="preserve"> This technology is able to improve heat transfer </w:t>
      </w:r>
      <w:r w:rsidR="003669E8" w:rsidRPr="00C97F56">
        <w:rPr>
          <w:rFonts w:ascii="Times" w:hAnsi="Times"/>
          <w:sz w:val="24"/>
        </w:rPr>
        <w:t>through</w:t>
      </w:r>
      <w:r w:rsidRPr="00C97F56">
        <w:rPr>
          <w:rFonts w:ascii="Times" w:hAnsi="Times"/>
          <w:sz w:val="24"/>
        </w:rPr>
        <w:t xml:space="preserve"> the use of advanced firetubes with extended surfaces that help achieve a compact design through reducing size, weight, and footprint.  The advanced heat recovery system combines compact economizers, a humidifying air heater, and a patented transport membrane condenser.</w:t>
      </w:r>
      <w:r w:rsidR="00F94448" w:rsidRPr="00C97F56">
        <w:rPr>
          <w:rFonts w:ascii="Times New Roman" w:hAnsi="Times New Roman"/>
          <w:sz w:val="24"/>
          <w:szCs w:val="23"/>
          <w:vertAlign w:val="superscript"/>
        </w:rPr>
        <w:t>1</w:t>
      </w:r>
      <w:r w:rsidR="003627D7">
        <w:rPr>
          <w:rFonts w:ascii="Times New Roman" w:hAnsi="Times New Roman"/>
          <w:sz w:val="24"/>
          <w:szCs w:val="23"/>
          <w:vertAlign w:val="superscript"/>
        </w:rPr>
        <w:t>4</w:t>
      </w:r>
      <w:r w:rsidR="004F298B" w:rsidRPr="00C97F56">
        <w:rPr>
          <w:rFonts w:ascii="Times" w:hAnsi="Times"/>
          <w:sz w:val="24"/>
        </w:rPr>
        <w:t xml:space="preserve">  </w:t>
      </w:r>
    </w:p>
    <w:p w:rsidR="00CC079E" w:rsidRPr="00C97F56" w:rsidRDefault="00CC079E" w:rsidP="00256A6B">
      <w:pPr>
        <w:pStyle w:val="HTMLPreformatted"/>
        <w:spacing w:line="276" w:lineRule="auto"/>
        <w:rPr>
          <w:rFonts w:ascii="Times" w:hAnsi="Times"/>
          <w:sz w:val="24"/>
        </w:rPr>
      </w:pPr>
    </w:p>
    <w:p w:rsidR="00D209F5" w:rsidRPr="00C97F56" w:rsidRDefault="004F298B" w:rsidP="00256A6B">
      <w:pPr>
        <w:pStyle w:val="HTMLPreformatted"/>
        <w:spacing w:line="276" w:lineRule="auto"/>
        <w:rPr>
          <w:rFonts w:ascii="Times" w:hAnsi="Times"/>
          <w:sz w:val="24"/>
        </w:rPr>
      </w:pPr>
      <w:r w:rsidRPr="00C97F56">
        <w:rPr>
          <w:rFonts w:ascii="Times New Roman" w:hAnsi="Times New Roman"/>
          <w:sz w:val="24"/>
          <w:szCs w:val="24"/>
        </w:rPr>
        <w:t xml:space="preserve">These technologies are illustrative.  </w:t>
      </w:r>
      <w:r w:rsidR="00687B3F" w:rsidRPr="00C97F56">
        <w:rPr>
          <w:rFonts w:ascii="Times New Roman" w:hAnsi="Times New Roman"/>
          <w:sz w:val="24"/>
          <w:szCs w:val="24"/>
        </w:rPr>
        <w:t>Please re</w:t>
      </w:r>
      <w:r w:rsidRPr="00C97F56">
        <w:rPr>
          <w:rFonts w:ascii="Times New Roman" w:hAnsi="Times New Roman"/>
          <w:sz w:val="24"/>
          <w:szCs w:val="24"/>
        </w:rPr>
        <w:t xml:space="preserve">fer to </w:t>
      </w:r>
      <w:r w:rsidRPr="00C97F56">
        <w:rPr>
          <w:rFonts w:ascii="Times New Roman" w:hAnsi="Times New Roman"/>
          <w:i/>
          <w:sz w:val="24"/>
          <w:szCs w:val="24"/>
        </w:rPr>
        <w:t>Energy Efficiency in the South</w:t>
      </w:r>
      <w:r w:rsidRPr="00C97F56">
        <w:rPr>
          <w:rFonts w:ascii="Times New Roman" w:hAnsi="Times New Roman"/>
          <w:sz w:val="24"/>
          <w:szCs w:val="24"/>
        </w:rPr>
        <w:t xml:space="preserve"> by Brown et al. for additional </w:t>
      </w:r>
      <w:r w:rsidR="003259CD" w:rsidRPr="00C97F56">
        <w:rPr>
          <w:rFonts w:ascii="Times New Roman" w:hAnsi="Times New Roman"/>
          <w:sz w:val="24"/>
          <w:szCs w:val="24"/>
        </w:rPr>
        <w:t xml:space="preserve">technology descriptions and </w:t>
      </w:r>
      <w:r w:rsidRPr="00C97F56">
        <w:rPr>
          <w:rFonts w:ascii="Times New Roman" w:hAnsi="Times New Roman"/>
          <w:sz w:val="24"/>
          <w:szCs w:val="24"/>
        </w:rPr>
        <w:t>examples.</w:t>
      </w:r>
      <w:r w:rsidR="001C7E3D" w:rsidRPr="00636CA6">
        <w:rPr>
          <w:rFonts w:ascii="Times" w:hAnsi="Times"/>
          <w:sz w:val="24"/>
          <w:szCs w:val="24"/>
          <w:vertAlign w:val="superscript"/>
        </w:rPr>
        <w:t>1</w:t>
      </w:r>
    </w:p>
    <w:p w:rsidR="00E50E38" w:rsidRPr="00C97F56" w:rsidRDefault="00E50E38" w:rsidP="007046CE">
      <w:pPr>
        <w:spacing w:after="0"/>
        <w:rPr>
          <w:rFonts w:ascii="Times" w:hAnsi="Times"/>
          <w:b/>
          <w:sz w:val="24"/>
          <w:szCs w:val="24"/>
        </w:rPr>
      </w:pPr>
    </w:p>
    <w:p w:rsidR="00CB09C8" w:rsidRPr="00C97F56" w:rsidRDefault="00CB09C8" w:rsidP="005D29BC">
      <w:pPr>
        <w:spacing w:after="0" w:line="240" w:lineRule="auto"/>
        <w:rPr>
          <w:rFonts w:ascii="Times" w:hAnsi="Times"/>
          <w:b/>
          <w:sz w:val="24"/>
          <w:szCs w:val="24"/>
        </w:rPr>
      </w:pPr>
      <w:r w:rsidRPr="00C97F56">
        <w:rPr>
          <w:rFonts w:ascii="Times" w:hAnsi="Times"/>
          <w:b/>
          <w:sz w:val="24"/>
          <w:szCs w:val="24"/>
        </w:rPr>
        <w:t>Economic and Financial Impacts</w:t>
      </w:r>
    </w:p>
    <w:p w:rsidR="009F0676" w:rsidRPr="002C3AD3" w:rsidRDefault="00BB3C25" w:rsidP="009F0676">
      <w:pPr>
        <w:spacing w:after="0"/>
        <w:rPr>
          <w:rFonts w:ascii="Times" w:hAnsi="Times"/>
          <w:color w:val="000000"/>
          <w:sz w:val="24"/>
          <w:szCs w:val="24"/>
          <w:vertAlign w:val="superscript"/>
        </w:rPr>
      </w:pPr>
      <w:r w:rsidRPr="00BB3C25">
        <w:rPr>
          <w:rFonts w:ascii="Times" w:hAnsi="Times"/>
          <w:color w:val="000000"/>
          <w:sz w:val="24"/>
        </w:rPr>
        <w:t xml:space="preserve">The nine energy efficiency policies evaluated in </w:t>
      </w:r>
      <w:r w:rsidRPr="00BB3C25">
        <w:rPr>
          <w:rFonts w:ascii="Times" w:hAnsi="Times"/>
          <w:i/>
          <w:color w:val="000000"/>
          <w:sz w:val="24"/>
        </w:rPr>
        <w:t>Energy Efficiency in the South</w:t>
      </w:r>
      <w:r w:rsidRPr="00BB3C25">
        <w:rPr>
          <w:rFonts w:ascii="Times" w:hAnsi="Times"/>
          <w:color w:val="000000"/>
          <w:sz w:val="24"/>
        </w:rPr>
        <w:t xml:space="preserve"> could reduce energy costs for North Carolina consumers and could generate jobs in the State (Table 1). Residential, commercial and industrial consumers could benefit from total energy savings of $3.8 billion in 2020 ($2</w:t>
      </w:r>
      <w:r w:rsidR="00A368FD">
        <w:rPr>
          <w:rFonts w:ascii="Times" w:hAnsi="Times"/>
          <w:color w:val="000000"/>
          <w:sz w:val="24"/>
        </w:rPr>
        <w:t xml:space="preserve"> </w:t>
      </w:r>
      <w:r w:rsidRPr="00BB3C25">
        <w:rPr>
          <w:rFonts w:ascii="Times" w:hAnsi="Times"/>
          <w:color w:val="000000"/>
          <w:sz w:val="24"/>
        </w:rPr>
        <w:t xml:space="preserve">billion of which is specific to electricity), and $7.0 billion in total energy savings in 2030.  </w:t>
      </w:r>
      <w:r w:rsidRPr="00BB3C25">
        <w:rPr>
          <w:rFonts w:ascii="Times" w:hAnsi="Times" w:cs="Times"/>
          <w:color w:val="000000"/>
          <w:sz w:val="24"/>
        </w:rPr>
        <w:t>In comparison, North Carolina spent $10.3 billion on electricity in 2007</w:t>
      </w:r>
      <w:r w:rsidR="009F0676" w:rsidRPr="005A0019">
        <w:rPr>
          <w:rFonts w:ascii="Times" w:hAnsi="Times"/>
          <w:color w:val="000000"/>
          <w:sz w:val="24"/>
          <w:szCs w:val="24"/>
        </w:rPr>
        <w:t>.</w:t>
      </w:r>
      <w:r w:rsidR="002C3AD3">
        <w:rPr>
          <w:rFonts w:ascii="Times" w:hAnsi="Times"/>
          <w:color w:val="000000"/>
          <w:sz w:val="24"/>
          <w:szCs w:val="24"/>
          <w:vertAlign w:val="superscript"/>
        </w:rPr>
        <w:t>1</w:t>
      </w:r>
      <w:r w:rsidR="003627D7">
        <w:rPr>
          <w:rFonts w:ascii="Times" w:hAnsi="Times"/>
          <w:color w:val="000000"/>
          <w:sz w:val="24"/>
          <w:szCs w:val="24"/>
          <w:vertAlign w:val="superscript"/>
        </w:rPr>
        <w:t>5</w:t>
      </w:r>
    </w:p>
    <w:p w:rsidR="009F0676" w:rsidRPr="005A0019" w:rsidRDefault="009F0676" w:rsidP="009F0676">
      <w:pPr>
        <w:spacing w:after="0"/>
        <w:rPr>
          <w:rFonts w:ascii="Times" w:hAnsi="Times"/>
          <w:color w:val="000000"/>
          <w:sz w:val="24"/>
          <w:szCs w:val="24"/>
        </w:rPr>
      </w:pPr>
    </w:p>
    <w:p w:rsidR="00947509" w:rsidRPr="002C3AD3" w:rsidRDefault="009F0676" w:rsidP="009F0676">
      <w:pPr>
        <w:spacing w:after="0"/>
        <w:rPr>
          <w:rFonts w:ascii="Times" w:hAnsi="Times"/>
          <w:color w:val="000000"/>
          <w:sz w:val="24"/>
          <w:szCs w:val="24"/>
          <w:vertAlign w:val="superscript"/>
        </w:rPr>
      </w:pPr>
      <w:r w:rsidRPr="005A0019">
        <w:rPr>
          <w:rFonts w:ascii="Times" w:hAnsi="Times"/>
          <w:color w:val="000000"/>
          <w:sz w:val="24"/>
          <w:szCs w:val="24"/>
        </w:rPr>
        <w:t xml:space="preserve">Using an input-output calculation method from ACEEE – with state-specific impact coefficients and accounting for declines in employment in the electricity and natural gas sectors – we estimated that North Carolina would experience a net </w:t>
      </w:r>
      <w:r w:rsidR="00B71DD2">
        <w:rPr>
          <w:rFonts w:ascii="Times" w:hAnsi="Times"/>
          <w:color w:val="000000"/>
          <w:sz w:val="24"/>
          <w:szCs w:val="24"/>
        </w:rPr>
        <w:t xml:space="preserve">gain of </w:t>
      </w:r>
      <w:r w:rsidR="007E400C">
        <w:rPr>
          <w:rFonts w:ascii="Times" w:hAnsi="Times"/>
          <w:color w:val="000000"/>
          <w:sz w:val="24"/>
          <w:szCs w:val="24"/>
        </w:rPr>
        <w:t>30,800</w:t>
      </w:r>
      <w:r w:rsidR="00B71DD2">
        <w:rPr>
          <w:rFonts w:ascii="Times" w:hAnsi="Times"/>
          <w:color w:val="000000"/>
          <w:sz w:val="24"/>
          <w:szCs w:val="24"/>
        </w:rPr>
        <w:t xml:space="preserve"> jobs in 2020, growing to </w:t>
      </w:r>
      <w:r w:rsidR="007E400C">
        <w:rPr>
          <w:rFonts w:ascii="Times" w:hAnsi="Times"/>
          <w:color w:val="000000"/>
          <w:sz w:val="24"/>
          <w:szCs w:val="24"/>
        </w:rPr>
        <w:t>42,100</w:t>
      </w:r>
      <w:r w:rsidRPr="005A0019">
        <w:rPr>
          <w:rFonts w:ascii="Times" w:hAnsi="Times"/>
          <w:color w:val="000000"/>
          <w:sz w:val="24"/>
          <w:szCs w:val="24"/>
        </w:rPr>
        <w:t xml:space="preserve"> in 2030.  In comparison, there were about 50</w:t>
      </w:r>
      <w:r w:rsidR="00484300">
        <w:rPr>
          <w:rFonts w:ascii="Times" w:hAnsi="Times"/>
          <w:color w:val="000000"/>
          <w:sz w:val="24"/>
          <w:szCs w:val="24"/>
        </w:rPr>
        <w:t>0</w:t>
      </w:r>
      <w:r w:rsidRPr="005A0019">
        <w:rPr>
          <w:rFonts w:ascii="Times" w:hAnsi="Times"/>
          <w:color w:val="000000"/>
          <w:sz w:val="24"/>
          <w:szCs w:val="24"/>
        </w:rPr>
        <w:t>,0</w:t>
      </w:r>
      <w:r w:rsidR="00523836">
        <w:rPr>
          <w:rFonts w:ascii="Times" w:hAnsi="Times"/>
          <w:color w:val="000000"/>
          <w:sz w:val="24"/>
          <w:szCs w:val="24"/>
        </w:rPr>
        <w:t>0</w:t>
      </w:r>
      <w:r w:rsidRPr="005A0019">
        <w:rPr>
          <w:rFonts w:ascii="Times" w:hAnsi="Times"/>
          <w:color w:val="000000"/>
          <w:sz w:val="24"/>
          <w:szCs w:val="24"/>
        </w:rPr>
        <w:t>0 unemployed residents of North Carolina at the end of 2009.</w:t>
      </w:r>
      <w:r w:rsidR="002C3AD3">
        <w:rPr>
          <w:rFonts w:ascii="Times" w:hAnsi="Times"/>
          <w:color w:val="000000"/>
          <w:sz w:val="24"/>
          <w:szCs w:val="24"/>
          <w:vertAlign w:val="superscript"/>
        </w:rPr>
        <w:t>1</w:t>
      </w:r>
      <w:r w:rsidR="003627D7">
        <w:rPr>
          <w:rFonts w:ascii="Times" w:hAnsi="Times"/>
          <w:color w:val="000000"/>
          <w:sz w:val="24"/>
          <w:szCs w:val="24"/>
          <w:vertAlign w:val="superscript"/>
        </w:rPr>
        <w:t>6</w:t>
      </w:r>
    </w:p>
    <w:p w:rsidR="00947509" w:rsidRDefault="00947509" w:rsidP="009F0676">
      <w:pPr>
        <w:spacing w:after="0"/>
        <w:rPr>
          <w:rFonts w:ascii="Times" w:hAnsi="Times"/>
          <w:color w:val="000000"/>
          <w:sz w:val="24"/>
          <w:szCs w:val="24"/>
        </w:rPr>
      </w:pPr>
    </w:p>
    <w:p w:rsidR="009F0676" w:rsidRDefault="00086071" w:rsidP="009F0676">
      <w:pPr>
        <w:spacing w:after="0"/>
        <w:rPr>
          <w:rFonts w:ascii="Times" w:hAnsi="Times"/>
          <w:color w:val="000000"/>
          <w:sz w:val="24"/>
          <w:szCs w:val="24"/>
        </w:rPr>
      </w:pPr>
      <w:r w:rsidRPr="00086071">
        <w:rPr>
          <w:rStyle w:val="apple-style-span"/>
          <w:rFonts w:ascii="Times" w:hAnsi="Times"/>
          <w:sz w:val="24"/>
          <w:szCs w:val="24"/>
        </w:rPr>
        <w:t>While the South's economy would grow as a result of the energy-efficiency policies, North Carolina would experience</w:t>
      </w:r>
      <w:r w:rsidR="00B71DD2">
        <w:rPr>
          <w:rStyle w:val="apple-style-span"/>
          <w:rFonts w:ascii="Times" w:hAnsi="Times"/>
          <w:sz w:val="24"/>
          <w:szCs w:val="24"/>
        </w:rPr>
        <w:t xml:space="preserve"> first a small increase and then</w:t>
      </w:r>
      <w:r w:rsidRPr="00086071">
        <w:rPr>
          <w:rStyle w:val="apple-style-span"/>
          <w:rFonts w:ascii="Times" w:hAnsi="Times"/>
          <w:sz w:val="24"/>
          <w:szCs w:val="24"/>
        </w:rPr>
        <w:t xml:space="preserve"> a small decline in Gross State Product,</w:t>
      </w:r>
      <w:r w:rsidR="008559EF" w:rsidRPr="008559EF" w:rsidDel="008559EF">
        <w:rPr>
          <w:rFonts w:ascii="Times" w:hAnsi="Times"/>
          <w:color w:val="000000"/>
          <w:sz w:val="24"/>
          <w:szCs w:val="24"/>
        </w:rPr>
        <w:t xml:space="preserve"> </w:t>
      </w:r>
      <w:r w:rsidR="009F5B59">
        <w:rPr>
          <w:rFonts w:ascii="Times" w:hAnsi="Times"/>
          <w:color w:val="000000"/>
          <w:sz w:val="24"/>
          <w:szCs w:val="24"/>
        </w:rPr>
        <w:t>with a</w:t>
      </w:r>
      <w:r w:rsidR="00B71DD2">
        <w:rPr>
          <w:rFonts w:ascii="Times" w:hAnsi="Times"/>
          <w:color w:val="000000"/>
          <w:sz w:val="24"/>
          <w:szCs w:val="24"/>
        </w:rPr>
        <w:t>n increase of $</w:t>
      </w:r>
      <w:r w:rsidR="007E400C">
        <w:rPr>
          <w:rFonts w:ascii="Times" w:hAnsi="Times"/>
          <w:color w:val="000000"/>
          <w:sz w:val="24"/>
          <w:szCs w:val="24"/>
        </w:rPr>
        <w:t xml:space="preserve">1 </w:t>
      </w:r>
      <w:r w:rsidR="009F5B59">
        <w:rPr>
          <w:rFonts w:ascii="Times" w:hAnsi="Times"/>
          <w:color w:val="000000"/>
          <w:sz w:val="24"/>
          <w:szCs w:val="24"/>
        </w:rPr>
        <w:t>million in 2020 and</w:t>
      </w:r>
      <w:r w:rsidR="00B71DD2">
        <w:rPr>
          <w:rFonts w:ascii="Times" w:hAnsi="Times"/>
          <w:color w:val="000000"/>
          <w:sz w:val="24"/>
          <w:szCs w:val="24"/>
        </w:rPr>
        <w:t xml:space="preserve"> a decrease of</w:t>
      </w:r>
      <w:r w:rsidR="009F5B59">
        <w:rPr>
          <w:rFonts w:ascii="Times" w:hAnsi="Times"/>
          <w:color w:val="000000"/>
          <w:sz w:val="24"/>
          <w:szCs w:val="24"/>
        </w:rPr>
        <w:t xml:space="preserve"> </w:t>
      </w:r>
      <w:r w:rsidR="00B71DD2">
        <w:rPr>
          <w:rFonts w:ascii="Times" w:hAnsi="Times"/>
          <w:color w:val="000000"/>
          <w:sz w:val="24"/>
          <w:szCs w:val="24"/>
        </w:rPr>
        <w:t>$</w:t>
      </w:r>
      <w:r w:rsidR="007E400C">
        <w:rPr>
          <w:rFonts w:ascii="Times" w:hAnsi="Times"/>
          <w:color w:val="000000"/>
          <w:sz w:val="24"/>
          <w:szCs w:val="24"/>
        </w:rPr>
        <w:t xml:space="preserve">33 </w:t>
      </w:r>
      <w:r w:rsidR="009F5B59">
        <w:rPr>
          <w:rFonts w:ascii="Times" w:hAnsi="Times"/>
          <w:color w:val="000000"/>
          <w:sz w:val="24"/>
          <w:szCs w:val="24"/>
        </w:rPr>
        <w:t>million in 2030.  This change is a small fraction of the North Carolina’s $</w:t>
      </w:r>
      <w:r w:rsidR="00F945FC">
        <w:rPr>
          <w:rFonts w:ascii="Times" w:hAnsi="Times"/>
          <w:color w:val="000000"/>
          <w:sz w:val="24"/>
          <w:szCs w:val="24"/>
        </w:rPr>
        <w:t xml:space="preserve">329 </w:t>
      </w:r>
      <w:r w:rsidR="009F5B59">
        <w:rPr>
          <w:rFonts w:ascii="Times" w:hAnsi="Times"/>
          <w:color w:val="000000"/>
          <w:sz w:val="24"/>
          <w:szCs w:val="24"/>
        </w:rPr>
        <w:t>billion economy</w:t>
      </w:r>
      <w:r w:rsidRPr="00086071">
        <w:rPr>
          <w:rStyle w:val="apple-style-span"/>
          <w:rFonts w:ascii="Times" w:hAnsi="Times"/>
          <w:sz w:val="24"/>
          <w:szCs w:val="24"/>
        </w:rPr>
        <w:t xml:space="preserve">; </w:t>
      </w:r>
      <w:r w:rsidR="004E3C2B">
        <w:rPr>
          <w:rStyle w:val="apple-style-span"/>
          <w:rFonts w:ascii="Times" w:hAnsi="Times"/>
          <w:sz w:val="24"/>
          <w:szCs w:val="24"/>
        </w:rPr>
        <w:t xml:space="preserve">North Carolina has an </w:t>
      </w:r>
      <w:r w:rsidRPr="00086071">
        <w:rPr>
          <w:rStyle w:val="apple-style-span"/>
          <w:rFonts w:ascii="Times" w:hAnsi="Times"/>
          <w:sz w:val="24"/>
          <w:szCs w:val="24"/>
        </w:rPr>
        <w:t>average economic multiplier associated with energy-efficiency manufacturing and construction activities in North Carolina</w:t>
      </w:r>
      <w:r w:rsidR="009F0676" w:rsidRPr="008559EF">
        <w:rPr>
          <w:rFonts w:ascii="Times" w:hAnsi="Times"/>
          <w:color w:val="000000"/>
          <w:sz w:val="24"/>
          <w:szCs w:val="24"/>
        </w:rPr>
        <w:t>.</w:t>
      </w:r>
      <w:r w:rsidR="002C3AD3" w:rsidRPr="002C3AD3">
        <w:rPr>
          <w:rFonts w:ascii="Times" w:hAnsi="Times"/>
          <w:color w:val="000000"/>
          <w:sz w:val="24"/>
          <w:szCs w:val="24"/>
          <w:vertAlign w:val="superscript"/>
        </w:rPr>
        <w:t>1</w:t>
      </w:r>
      <w:r w:rsidR="003627D7">
        <w:rPr>
          <w:rFonts w:ascii="Times" w:hAnsi="Times"/>
          <w:color w:val="000000"/>
          <w:sz w:val="24"/>
          <w:szCs w:val="24"/>
          <w:vertAlign w:val="superscript"/>
        </w:rPr>
        <w:t>7</w:t>
      </w:r>
    </w:p>
    <w:p w:rsidR="004E3C2B" w:rsidRDefault="004E3C2B" w:rsidP="009F0676">
      <w:pPr>
        <w:spacing w:after="0"/>
        <w:rPr>
          <w:rFonts w:ascii="Times" w:hAnsi="Times"/>
          <w:color w:val="000000"/>
          <w:sz w:val="24"/>
          <w:szCs w:val="24"/>
        </w:rPr>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96"/>
        <w:gridCol w:w="1483"/>
        <w:gridCol w:w="1452"/>
      </w:tblGrid>
      <w:tr w:rsidR="00A368FD" w:rsidRPr="00215AA3">
        <w:trPr>
          <w:trHeight w:val="305"/>
          <w:jc w:val="center"/>
        </w:trPr>
        <w:tc>
          <w:tcPr>
            <w:tcW w:w="9831" w:type="dxa"/>
            <w:gridSpan w:val="3"/>
          </w:tcPr>
          <w:p w:rsidR="0062479C" w:rsidRDefault="00727831">
            <w:pPr>
              <w:spacing w:before="120" w:after="0"/>
              <w:jc w:val="center"/>
              <w:rPr>
                <w:rFonts w:ascii="Times" w:hAnsi="Times"/>
                <w:b/>
                <w:sz w:val="24"/>
                <w:szCs w:val="24"/>
              </w:rPr>
            </w:pPr>
            <w:r w:rsidRPr="00727831">
              <w:rPr>
                <w:rFonts w:ascii="Times" w:hAnsi="Times"/>
                <w:b/>
                <w:sz w:val="24"/>
                <w:szCs w:val="24"/>
              </w:rPr>
              <w:t xml:space="preserve">Table 1: Economic and Employment Impacts of Energy Efficiency </w:t>
            </w:r>
          </w:p>
        </w:tc>
      </w:tr>
      <w:tr w:rsidR="00A368FD" w:rsidRPr="00215AA3">
        <w:trPr>
          <w:jc w:val="center"/>
        </w:trPr>
        <w:tc>
          <w:tcPr>
            <w:tcW w:w="6896" w:type="dxa"/>
            <w:shd w:val="clear" w:color="auto" w:fill="B6DDE8"/>
            <w:vAlign w:val="center"/>
          </w:tcPr>
          <w:p w:rsidR="0062479C" w:rsidRDefault="00727831">
            <w:pPr>
              <w:spacing w:before="120" w:after="0"/>
              <w:jc w:val="center"/>
              <w:rPr>
                <w:rFonts w:ascii="Times" w:hAnsi="Times"/>
                <w:b/>
                <w:sz w:val="24"/>
                <w:szCs w:val="24"/>
              </w:rPr>
            </w:pPr>
            <w:r w:rsidRPr="00727831">
              <w:rPr>
                <w:rFonts w:ascii="Times" w:hAnsi="Times"/>
                <w:b/>
                <w:sz w:val="24"/>
                <w:szCs w:val="24"/>
              </w:rPr>
              <w:t>Indicator</w:t>
            </w:r>
          </w:p>
        </w:tc>
        <w:tc>
          <w:tcPr>
            <w:tcW w:w="1483" w:type="dxa"/>
            <w:shd w:val="clear" w:color="auto" w:fill="B6DDE8"/>
            <w:vAlign w:val="center"/>
          </w:tcPr>
          <w:p w:rsidR="0062479C" w:rsidRDefault="00727831">
            <w:pPr>
              <w:spacing w:before="120" w:after="0"/>
              <w:jc w:val="center"/>
              <w:rPr>
                <w:rFonts w:ascii="Times" w:hAnsi="Times"/>
                <w:b/>
                <w:sz w:val="24"/>
                <w:szCs w:val="24"/>
              </w:rPr>
            </w:pPr>
            <w:r w:rsidRPr="00727831">
              <w:rPr>
                <w:rFonts w:ascii="Times" w:hAnsi="Times"/>
                <w:b/>
                <w:sz w:val="24"/>
                <w:szCs w:val="24"/>
              </w:rPr>
              <w:t>2020</w:t>
            </w:r>
          </w:p>
        </w:tc>
        <w:tc>
          <w:tcPr>
            <w:tcW w:w="1452" w:type="dxa"/>
            <w:shd w:val="clear" w:color="auto" w:fill="B6DDE8"/>
            <w:vAlign w:val="center"/>
          </w:tcPr>
          <w:p w:rsidR="0062479C" w:rsidRDefault="00727831">
            <w:pPr>
              <w:spacing w:before="120" w:after="0"/>
              <w:jc w:val="center"/>
              <w:rPr>
                <w:rFonts w:ascii="Times" w:hAnsi="Times"/>
                <w:b/>
                <w:sz w:val="24"/>
                <w:szCs w:val="24"/>
              </w:rPr>
            </w:pPr>
            <w:r w:rsidRPr="00727831">
              <w:rPr>
                <w:rFonts w:ascii="Times" w:hAnsi="Times"/>
                <w:b/>
                <w:sz w:val="24"/>
                <w:szCs w:val="24"/>
              </w:rPr>
              <w:t>2030</w:t>
            </w:r>
          </w:p>
        </w:tc>
      </w:tr>
      <w:tr w:rsidR="00A368FD" w:rsidRPr="00F05F6E">
        <w:trPr>
          <w:jc w:val="center"/>
        </w:trPr>
        <w:tc>
          <w:tcPr>
            <w:tcW w:w="6896" w:type="dxa"/>
            <w:vAlign w:val="center"/>
          </w:tcPr>
          <w:p w:rsidR="0062479C" w:rsidRDefault="00727831">
            <w:pPr>
              <w:spacing w:before="120" w:after="0"/>
              <w:rPr>
                <w:rFonts w:ascii="Times" w:hAnsi="Times"/>
                <w:sz w:val="24"/>
                <w:szCs w:val="24"/>
              </w:rPr>
            </w:pPr>
            <w:r w:rsidRPr="00727831">
              <w:rPr>
                <w:rFonts w:ascii="Times" w:hAnsi="Times"/>
                <w:sz w:val="24"/>
                <w:szCs w:val="24"/>
              </w:rPr>
              <w:t>Public Sector Policy Financial Incentives (in million $2007)</w:t>
            </w:r>
          </w:p>
        </w:tc>
        <w:tc>
          <w:tcPr>
            <w:tcW w:w="1483" w:type="dxa"/>
            <w:vAlign w:val="center"/>
          </w:tcPr>
          <w:p w:rsidR="0062479C" w:rsidRDefault="00727831">
            <w:pPr>
              <w:spacing w:before="120" w:after="0"/>
              <w:jc w:val="center"/>
              <w:rPr>
                <w:rFonts w:ascii="Times" w:hAnsi="Times"/>
                <w:sz w:val="24"/>
                <w:szCs w:val="24"/>
              </w:rPr>
            </w:pPr>
            <w:r w:rsidRPr="00727831">
              <w:rPr>
                <w:rFonts w:ascii="Times" w:hAnsi="Times"/>
                <w:sz w:val="24"/>
                <w:szCs w:val="24"/>
              </w:rPr>
              <w:t>872</w:t>
            </w:r>
          </w:p>
        </w:tc>
        <w:tc>
          <w:tcPr>
            <w:tcW w:w="1452" w:type="dxa"/>
            <w:vAlign w:val="center"/>
          </w:tcPr>
          <w:p w:rsidR="0062479C" w:rsidRDefault="00727831">
            <w:pPr>
              <w:spacing w:before="120" w:after="0"/>
              <w:jc w:val="center"/>
              <w:rPr>
                <w:rFonts w:ascii="Times" w:hAnsi="Times"/>
                <w:sz w:val="24"/>
                <w:szCs w:val="24"/>
              </w:rPr>
            </w:pPr>
            <w:r w:rsidRPr="00727831">
              <w:rPr>
                <w:rFonts w:ascii="Times" w:hAnsi="Times"/>
                <w:sz w:val="24"/>
                <w:szCs w:val="24"/>
              </w:rPr>
              <w:t>1,318</w:t>
            </w:r>
          </w:p>
        </w:tc>
      </w:tr>
      <w:tr w:rsidR="00A368FD" w:rsidRPr="00F05F6E">
        <w:trPr>
          <w:jc w:val="center"/>
        </w:trPr>
        <w:tc>
          <w:tcPr>
            <w:tcW w:w="6896" w:type="dxa"/>
            <w:vAlign w:val="center"/>
          </w:tcPr>
          <w:p w:rsidR="0062479C" w:rsidRDefault="00727831">
            <w:pPr>
              <w:spacing w:before="120" w:after="0"/>
              <w:rPr>
                <w:rFonts w:ascii="Times" w:hAnsi="Times"/>
                <w:sz w:val="24"/>
                <w:szCs w:val="24"/>
              </w:rPr>
            </w:pPr>
            <w:r w:rsidRPr="00727831">
              <w:rPr>
                <w:rFonts w:ascii="Times" w:hAnsi="Times"/>
                <w:sz w:val="24"/>
                <w:szCs w:val="24"/>
              </w:rPr>
              <w:t>Private Sector/Household Productive Investment (in million $2007)</w:t>
            </w:r>
          </w:p>
        </w:tc>
        <w:tc>
          <w:tcPr>
            <w:tcW w:w="1483" w:type="dxa"/>
            <w:vAlign w:val="center"/>
          </w:tcPr>
          <w:p w:rsidR="0062479C" w:rsidRDefault="00727831">
            <w:pPr>
              <w:spacing w:before="120" w:after="0"/>
              <w:jc w:val="center"/>
              <w:rPr>
                <w:rFonts w:ascii="Times" w:hAnsi="Times"/>
                <w:sz w:val="24"/>
                <w:szCs w:val="24"/>
              </w:rPr>
            </w:pPr>
            <w:r w:rsidRPr="00727831">
              <w:rPr>
                <w:rFonts w:ascii="Times" w:hAnsi="Times"/>
                <w:sz w:val="24"/>
                <w:szCs w:val="24"/>
              </w:rPr>
              <w:t>323</w:t>
            </w:r>
          </w:p>
        </w:tc>
        <w:tc>
          <w:tcPr>
            <w:tcW w:w="1452" w:type="dxa"/>
            <w:vAlign w:val="center"/>
          </w:tcPr>
          <w:p w:rsidR="0062479C" w:rsidRDefault="00727831">
            <w:pPr>
              <w:spacing w:before="120" w:after="0"/>
              <w:jc w:val="center"/>
              <w:rPr>
                <w:rFonts w:ascii="Times" w:hAnsi="Times"/>
                <w:sz w:val="24"/>
                <w:szCs w:val="24"/>
              </w:rPr>
            </w:pPr>
            <w:r w:rsidRPr="00727831">
              <w:rPr>
                <w:rFonts w:ascii="Times" w:hAnsi="Times"/>
                <w:sz w:val="24"/>
                <w:szCs w:val="24"/>
              </w:rPr>
              <w:t>382</w:t>
            </w:r>
          </w:p>
        </w:tc>
      </w:tr>
      <w:tr w:rsidR="00A368FD" w:rsidRPr="0077054F">
        <w:trPr>
          <w:jc w:val="center"/>
        </w:trPr>
        <w:tc>
          <w:tcPr>
            <w:tcW w:w="6896" w:type="dxa"/>
            <w:vAlign w:val="center"/>
          </w:tcPr>
          <w:p w:rsidR="0062479C" w:rsidRDefault="00727831">
            <w:pPr>
              <w:spacing w:before="120" w:after="0"/>
              <w:rPr>
                <w:rFonts w:ascii="Times" w:hAnsi="Times"/>
                <w:sz w:val="24"/>
                <w:szCs w:val="24"/>
              </w:rPr>
            </w:pPr>
            <w:r w:rsidRPr="00727831">
              <w:rPr>
                <w:rFonts w:ascii="Times" w:hAnsi="Times"/>
                <w:sz w:val="24"/>
                <w:szCs w:val="24"/>
              </w:rPr>
              <w:t>Change in Electricity Costs (in million $2007)</w:t>
            </w:r>
          </w:p>
        </w:tc>
        <w:tc>
          <w:tcPr>
            <w:tcW w:w="1483" w:type="dxa"/>
            <w:vAlign w:val="bottom"/>
          </w:tcPr>
          <w:p w:rsidR="0062479C" w:rsidRDefault="00727831">
            <w:pPr>
              <w:spacing w:before="120" w:after="0"/>
              <w:jc w:val="center"/>
              <w:rPr>
                <w:rFonts w:ascii="Times" w:hAnsi="Times"/>
                <w:sz w:val="24"/>
                <w:szCs w:val="24"/>
              </w:rPr>
            </w:pPr>
            <w:r w:rsidRPr="00727831">
              <w:rPr>
                <w:rFonts w:ascii="Times" w:hAnsi="Times"/>
                <w:sz w:val="24"/>
                <w:szCs w:val="24"/>
              </w:rPr>
              <w:t>-$2,006</w:t>
            </w:r>
          </w:p>
        </w:tc>
        <w:tc>
          <w:tcPr>
            <w:tcW w:w="1452" w:type="dxa"/>
            <w:vAlign w:val="bottom"/>
          </w:tcPr>
          <w:p w:rsidR="0062479C" w:rsidRDefault="00727831">
            <w:pPr>
              <w:spacing w:before="120" w:after="0"/>
              <w:jc w:val="center"/>
              <w:rPr>
                <w:rFonts w:ascii="Times" w:hAnsi="Times"/>
                <w:sz w:val="24"/>
                <w:szCs w:val="24"/>
              </w:rPr>
            </w:pPr>
            <w:r w:rsidRPr="00727831">
              <w:rPr>
                <w:rFonts w:ascii="Times" w:hAnsi="Times"/>
                <w:sz w:val="24"/>
                <w:szCs w:val="24"/>
              </w:rPr>
              <w:t>-$3,846</w:t>
            </w:r>
          </w:p>
        </w:tc>
      </w:tr>
      <w:tr w:rsidR="00A368FD" w:rsidRPr="0077054F">
        <w:trPr>
          <w:jc w:val="center"/>
        </w:trPr>
        <w:tc>
          <w:tcPr>
            <w:tcW w:w="6896" w:type="dxa"/>
            <w:vAlign w:val="center"/>
          </w:tcPr>
          <w:p w:rsidR="0062479C" w:rsidRDefault="00727831">
            <w:pPr>
              <w:spacing w:before="120" w:after="0"/>
              <w:rPr>
                <w:rFonts w:ascii="Times" w:hAnsi="Times"/>
                <w:b/>
                <w:sz w:val="24"/>
                <w:szCs w:val="24"/>
              </w:rPr>
            </w:pPr>
            <w:r w:rsidRPr="00727831">
              <w:rPr>
                <w:rFonts w:ascii="Times" w:hAnsi="Times"/>
                <w:sz w:val="24"/>
                <w:szCs w:val="24"/>
              </w:rPr>
              <w:t>Change in Natural Gas Costs (in million $2007)</w:t>
            </w:r>
          </w:p>
        </w:tc>
        <w:tc>
          <w:tcPr>
            <w:tcW w:w="1483" w:type="dxa"/>
            <w:vAlign w:val="bottom"/>
          </w:tcPr>
          <w:p w:rsidR="0062479C" w:rsidRDefault="00727831">
            <w:pPr>
              <w:spacing w:before="120" w:after="0"/>
              <w:jc w:val="center"/>
              <w:rPr>
                <w:rFonts w:ascii="Times" w:hAnsi="Times"/>
                <w:sz w:val="24"/>
                <w:szCs w:val="24"/>
              </w:rPr>
            </w:pPr>
            <w:r w:rsidRPr="00727831">
              <w:rPr>
                <w:rFonts w:ascii="Times" w:hAnsi="Times"/>
                <w:sz w:val="24"/>
                <w:szCs w:val="24"/>
              </w:rPr>
              <w:t>-$313</w:t>
            </w:r>
          </w:p>
        </w:tc>
        <w:tc>
          <w:tcPr>
            <w:tcW w:w="1452" w:type="dxa"/>
            <w:vAlign w:val="bottom"/>
          </w:tcPr>
          <w:p w:rsidR="0062479C" w:rsidRDefault="00727831">
            <w:pPr>
              <w:spacing w:before="120" w:after="0"/>
              <w:jc w:val="center"/>
              <w:rPr>
                <w:rFonts w:ascii="Times" w:hAnsi="Times"/>
                <w:sz w:val="24"/>
                <w:szCs w:val="24"/>
              </w:rPr>
            </w:pPr>
            <w:r w:rsidRPr="00727831">
              <w:rPr>
                <w:rFonts w:ascii="Times" w:hAnsi="Times"/>
                <w:sz w:val="24"/>
                <w:szCs w:val="24"/>
              </w:rPr>
              <w:t>-$498</w:t>
            </w:r>
          </w:p>
        </w:tc>
      </w:tr>
      <w:tr w:rsidR="00A368FD" w:rsidRPr="0077054F">
        <w:trPr>
          <w:jc w:val="center"/>
        </w:trPr>
        <w:tc>
          <w:tcPr>
            <w:tcW w:w="6896" w:type="dxa"/>
            <w:vAlign w:val="center"/>
          </w:tcPr>
          <w:p w:rsidR="0062479C" w:rsidRDefault="00727831">
            <w:pPr>
              <w:spacing w:before="120" w:after="0"/>
              <w:rPr>
                <w:rFonts w:ascii="Times" w:hAnsi="Times"/>
                <w:sz w:val="24"/>
                <w:szCs w:val="24"/>
              </w:rPr>
            </w:pPr>
            <w:r w:rsidRPr="00727831">
              <w:rPr>
                <w:rFonts w:ascii="Times" w:hAnsi="Times"/>
                <w:sz w:val="24"/>
                <w:szCs w:val="24"/>
              </w:rPr>
              <w:t>Annual Increased Employment (ACEEE Calculator)</w:t>
            </w:r>
          </w:p>
        </w:tc>
        <w:tc>
          <w:tcPr>
            <w:tcW w:w="1483" w:type="dxa"/>
            <w:vAlign w:val="bottom"/>
          </w:tcPr>
          <w:p w:rsidR="0062479C" w:rsidRDefault="00727831">
            <w:pPr>
              <w:spacing w:before="120" w:after="0"/>
              <w:jc w:val="center"/>
              <w:rPr>
                <w:rFonts w:ascii="Times" w:hAnsi="Times"/>
                <w:sz w:val="24"/>
                <w:szCs w:val="24"/>
              </w:rPr>
            </w:pPr>
            <w:r w:rsidRPr="00727831">
              <w:rPr>
                <w:rFonts w:ascii="Times" w:hAnsi="Times"/>
                <w:sz w:val="24"/>
                <w:szCs w:val="24"/>
              </w:rPr>
              <w:t>30,800</w:t>
            </w:r>
          </w:p>
        </w:tc>
        <w:tc>
          <w:tcPr>
            <w:tcW w:w="1452" w:type="dxa"/>
            <w:vAlign w:val="bottom"/>
          </w:tcPr>
          <w:p w:rsidR="0062479C" w:rsidRDefault="00727831">
            <w:pPr>
              <w:spacing w:before="120" w:after="0"/>
              <w:jc w:val="center"/>
              <w:rPr>
                <w:rFonts w:ascii="Times" w:hAnsi="Times"/>
                <w:sz w:val="24"/>
                <w:szCs w:val="24"/>
              </w:rPr>
            </w:pPr>
            <w:r w:rsidRPr="00727831">
              <w:rPr>
                <w:rFonts w:ascii="Times" w:hAnsi="Times"/>
                <w:sz w:val="24"/>
                <w:szCs w:val="24"/>
              </w:rPr>
              <w:t>42,100</w:t>
            </w:r>
          </w:p>
        </w:tc>
      </w:tr>
      <w:tr w:rsidR="00A368FD" w:rsidRPr="0077054F">
        <w:trPr>
          <w:jc w:val="center"/>
        </w:trPr>
        <w:tc>
          <w:tcPr>
            <w:tcW w:w="6896" w:type="dxa"/>
            <w:vAlign w:val="center"/>
          </w:tcPr>
          <w:p w:rsidR="0062479C" w:rsidRDefault="00727831">
            <w:pPr>
              <w:spacing w:before="120" w:after="0"/>
              <w:rPr>
                <w:rFonts w:ascii="Times" w:hAnsi="Times"/>
                <w:sz w:val="24"/>
                <w:szCs w:val="24"/>
              </w:rPr>
            </w:pPr>
            <w:r w:rsidRPr="00727831">
              <w:rPr>
                <w:rFonts w:ascii="Times" w:hAnsi="Times"/>
                <w:sz w:val="24"/>
                <w:szCs w:val="24"/>
              </w:rPr>
              <w:t>Change in Gross State Product (in million $2007)</w:t>
            </w:r>
          </w:p>
        </w:tc>
        <w:tc>
          <w:tcPr>
            <w:tcW w:w="1483" w:type="dxa"/>
            <w:vAlign w:val="bottom"/>
          </w:tcPr>
          <w:p w:rsidR="0062479C" w:rsidRDefault="00727831">
            <w:pPr>
              <w:spacing w:before="120" w:after="0"/>
              <w:jc w:val="center"/>
              <w:rPr>
                <w:rFonts w:ascii="Times" w:hAnsi="Times"/>
                <w:sz w:val="24"/>
                <w:szCs w:val="24"/>
              </w:rPr>
            </w:pPr>
            <w:r w:rsidRPr="00727831">
              <w:rPr>
                <w:rFonts w:ascii="Times" w:hAnsi="Times"/>
                <w:sz w:val="24"/>
                <w:szCs w:val="24"/>
              </w:rPr>
              <w:t>1</w:t>
            </w:r>
          </w:p>
        </w:tc>
        <w:tc>
          <w:tcPr>
            <w:tcW w:w="1452" w:type="dxa"/>
            <w:vAlign w:val="bottom"/>
          </w:tcPr>
          <w:p w:rsidR="0062479C" w:rsidRDefault="00727831">
            <w:pPr>
              <w:spacing w:before="120" w:after="0"/>
              <w:jc w:val="center"/>
              <w:rPr>
                <w:rFonts w:ascii="Times" w:hAnsi="Times"/>
                <w:sz w:val="24"/>
                <w:szCs w:val="24"/>
              </w:rPr>
            </w:pPr>
            <w:r w:rsidRPr="00727831">
              <w:rPr>
                <w:rFonts w:ascii="Times" w:hAnsi="Times"/>
                <w:sz w:val="24"/>
                <w:szCs w:val="24"/>
              </w:rPr>
              <w:t>-33</w:t>
            </w:r>
          </w:p>
        </w:tc>
      </w:tr>
    </w:tbl>
    <w:p w:rsidR="00A368FD" w:rsidRDefault="00A368FD" w:rsidP="00A368FD">
      <w:pPr>
        <w:spacing w:after="0"/>
        <w:rPr>
          <w:rFonts w:ascii="Times" w:hAnsi="Times"/>
          <w:color w:val="000000"/>
          <w:sz w:val="24"/>
          <w:szCs w:val="24"/>
        </w:rPr>
      </w:pPr>
    </w:p>
    <w:p w:rsidR="00CB09C8" w:rsidRPr="00C97F56" w:rsidRDefault="009249FB" w:rsidP="007046CE">
      <w:pPr>
        <w:spacing w:after="0"/>
        <w:rPr>
          <w:rFonts w:ascii="Times" w:hAnsi="Times"/>
          <w:b/>
          <w:sz w:val="24"/>
          <w:szCs w:val="24"/>
        </w:rPr>
      </w:pPr>
      <w:r w:rsidRPr="00C97F56">
        <w:rPr>
          <w:rFonts w:ascii="Times" w:hAnsi="Times"/>
          <w:b/>
          <w:sz w:val="24"/>
          <w:szCs w:val="24"/>
        </w:rPr>
        <w:t>Conclusions</w:t>
      </w:r>
    </w:p>
    <w:p w:rsidR="004C7D1A" w:rsidRDefault="00794C89" w:rsidP="0045024C">
      <w:pPr>
        <w:autoSpaceDE w:val="0"/>
        <w:autoSpaceDN w:val="0"/>
        <w:adjustRightInd w:val="0"/>
        <w:spacing w:after="0"/>
        <w:rPr>
          <w:rFonts w:ascii="Times New Roman" w:hAnsi="Times New Roman"/>
          <w:sz w:val="24"/>
          <w:szCs w:val="24"/>
        </w:rPr>
      </w:pPr>
      <w:r w:rsidRPr="00C97F56">
        <w:rPr>
          <w:rFonts w:ascii="Times New Roman" w:hAnsi="Times New Roman"/>
          <w:sz w:val="24"/>
          <w:szCs w:val="24"/>
        </w:rPr>
        <w:t>The energy-</w:t>
      </w:r>
      <w:r w:rsidR="0045024C" w:rsidRPr="00C97F56">
        <w:rPr>
          <w:rFonts w:ascii="Times New Roman" w:hAnsi="Times New Roman"/>
          <w:sz w:val="24"/>
          <w:szCs w:val="24"/>
        </w:rPr>
        <w:t xml:space="preserve">efficiency policies described in this report could set </w:t>
      </w:r>
      <w:r w:rsidR="00A65FD5" w:rsidRPr="00C97F56">
        <w:rPr>
          <w:rFonts w:ascii="Times New Roman" w:hAnsi="Times New Roman"/>
          <w:sz w:val="24"/>
          <w:szCs w:val="24"/>
        </w:rPr>
        <w:t>North Carolina</w:t>
      </w:r>
      <w:r w:rsidR="0045024C" w:rsidRPr="00C97F56">
        <w:rPr>
          <w:rFonts w:ascii="Times New Roman" w:hAnsi="Times New Roman"/>
          <w:sz w:val="24"/>
          <w:szCs w:val="24"/>
        </w:rPr>
        <w:t xml:space="preserve"> on a course toward a </w:t>
      </w:r>
      <w:r w:rsidRPr="00C97F56">
        <w:rPr>
          <w:rFonts w:ascii="Times New Roman" w:hAnsi="Times New Roman"/>
          <w:sz w:val="24"/>
          <w:szCs w:val="24"/>
        </w:rPr>
        <w:t xml:space="preserve">more </w:t>
      </w:r>
      <w:r w:rsidR="0045024C" w:rsidRPr="00C97F56">
        <w:rPr>
          <w:rFonts w:ascii="Times New Roman" w:hAnsi="Times New Roman"/>
          <w:sz w:val="24"/>
          <w:szCs w:val="24"/>
        </w:rPr>
        <w:t xml:space="preserve">sustainable and prosperous energy future.  If utilized effectively, the </w:t>
      </w:r>
      <w:r w:rsidR="00687B3F" w:rsidRPr="00C97F56">
        <w:rPr>
          <w:rFonts w:ascii="Times New Roman" w:hAnsi="Times New Roman"/>
          <w:sz w:val="24"/>
          <w:szCs w:val="24"/>
        </w:rPr>
        <w:t>S</w:t>
      </w:r>
      <w:r w:rsidR="0045024C" w:rsidRPr="00C97F56">
        <w:rPr>
          <w:rFonts w:ascii="Times New Roman" w:hAnsi="Times New Roman"/>
          <w:sz w:val="24"/>
          <w:szCs w:val="24"/>
        </w:rPr>
        <w:t>tate’s substantial energy-efficiency resources could reverse the long-term trend of ever-expanding energy consumption</w:t>
      </w:r>
      <w:r w:rsidR="004C7D1A">
        <w:rPr>
          <w:rFonts w:ascii="Times New Roman" w:hAnsi="Times New Roman"/>
          <w:sz w:val="24"/>
          <w:szCs w:val="24"/>
        </w:rPr>
        <w:t>.  With a sustained and concerted effort to use energy more wisely, North Carolina could create new job opportunities  and reduce its environmental footprint.</w:t>
      </w:r>
    </w:p>
    <w:p w:rsidR="00CC079E" w:rsidRPr="00C97F56" w:rsidRDefault="00CC079E" w:rsidP="0045024C">
      <w:pPr>
        <w:autoSpaceDE w:val="0"/>
        <w:autoSpaceDN w:val="0"/>
        <w:adjustRightInd w:val="0"/>
        <w:spacing w:after="0"/>
        <w:rPr>
          <w:rFonts w:ascii="Times New Roman" w:hAnsi="Times New Roman"/>
          <w:sz w:val="24"/>
          <w:szCs w:val="24"/>
        </w:rPr>
      </w:pPr>
    </w:p>
    <w:p w:rsidR="00CC079E" w:rsidRPr="00C97F56" w:rsidRDefault="00CC079E" w:rsidP="00CC079E">
      <w:pPr>
        <w:rPr>
          <w:rFonts w:ascii="Times" w:hAnsi="Times"/>
          <w:sz w:val="24"/>
          <w:szCs w:val="24"/>
        </w:rPr>
      </w:pPr>
      <w:r w:rsidRPr="00C97F56">
        <w:rPr>
          <w:rFonts w:ascii="Times" w:hAnsi="Times"/>
          <w:sz w:val="24"/>
          <w:szCs w:val="24"/>
        </w:rPr>
        <w:t xml:space="preserve">For more information on the methodology used to derive this state profile, please see </w:t>
      </w:r>
      <w:r w:rsidRPr="00C97F56">
        <w:rPr>
          <w:rFonts w:ascii="Times" w:hAnsi="Times"/>
          <w:i/>
          <w:sz w:val="24"/>
          <w:szCs w:val="24"/>
        </w:rPr>
        <w:t>Energy Efficiency in the South</w:t>
      </w:r>
      <w:r w:rsidRPr="00C97F56">
        <w:rPr>
          <w:rFonts w:ascii="Times" w:hAnsi="Times"/>
          <w:sz w:val="24"/>
          <w:szCs w:val="24"/>
        </w:rPr>
        <w:t>.</w:t>
      </w:r>
      <w:r w:rsidRPr="00C97F56">
        <w:rPr>
          <w:rFonts w:ascii="Times New Roman" w:hAnsi="Times New Roman"/>
          <w:sz w:val="24"/>
          <w:szCs w:val="23"/>
          <w:vertAlign w:val="superscript"/>
        </w:rPr>
        <w:t>1</w:t>
      </w:r>
    </w:p>
    <w:p w:rsidR="00CC079E" w:rsidRPr="00C97F56" w:rsidRDefault="00CC079E" w:rsidP="00CC079E">
      <w:pPr>
        <w:spacing w:after="0"/>
        <w:rPr>
          <w:rFonts w:ascii="Times New Roman" w:hAnsi="Times New Roman"/>
          <w:b/>
          <w:sz w:val="24"/>
          <w:szCs w:val="24"/>
        </w:rPr>
      </w:pPr>
    </w:p>
    <w:p w:rsidR="00CC079E" w:rsidRPr="00C97F56" w:rsidRDefault="00CC079E" w:rsidP="00CC079E">
      <w:pPr>
        <w:spacing w:after="0"/>
        <w:rPr>
          <w:rFonts w:ascii="Times" w:hAnsi="Times"/>
          <w:sz w:val="24"/>
          <w:szCs w:val="24"/>
        </w:rPr>
      </w:pPr>
      <w:r w:rsidRPr="00C97F56">
        <w:rPr>
          <w:rFonts w:ascii="Times New Roman" w:hAnsi="Times New Roman"/>
          <w:b/>
          <w:sz w:val="24"/>
          <w:szCs w:val="24"/>
        </w:rPr>
        <w:t>Acknowledgements</w:t>
      </w:r>
    </w:p>
    <w:p w:rsidR="00CC079E" w:rsidRPr="00C97F56" w:rsidRDefault="00CC079E" w:rsidP="00CC079E">
      <w:pPr>
        <w:spacing w:after="0"/>
        <w:rPr>
          <w:rFonts w:ascii="Times" w:hAnsi="Times"/>
          <w:sz w:val="24"/>
          <w:szCs w:val="24"/>
        </w:rPr>
      </w:pPr>
      <w:r w:rsidRPr="00C97F56">
        <w:rPr>
          <w:rFonts w:ascii="Times New Roman" w:hAnsi="Times New Roman" w:cs="Arial"/>
          <w:sz w:val="24"/>
        </w:rPr>
        <w:t>This study project is funded with support from the Energy Foundation (</w:t>
      </w:r>
      <w:hyperlink r:id="rId21" w:history="1">
        <w:r w:rsidRPr="00C97F56">
          <w:rPr>
            <w:rStyle w:val="Hyperlink"/>
            <w:rFonts w:ascii="Times New Roman" w:hAnsi="Times New Roman" w:cs="Arial"/>
            <w:color w:val="auto"/>
            <w:sz w:val="24"/>
          </w:rPr>
          <w:t>www.ef.org</w:t>
        </w:r>
      </w:hyperlink>
      <w:r w:rsidRPr="00C97F56">
        <w:rPr>
          <w:rFonts w:ascii="Times New Roman" w:hAnsi="Times New Roman" w:cs="Arial"/>
          <w:sz w:val="24"/>
        </w:rPr>
        <w:t>), the Kresge Foundation (</w:t>
      </w:r>
      <w:hyperlink r:id="rId22" w:history="1">
        <w:r w:rsidRPr="00C97F56">
          <w:rPr>
            <w:rStyle w:val="Hyperlink"/>
            <w:rFonts w:ascii="Times New Roman" w:hAnsi="Times New Roman" w:cs="Arial"/>
            <w:color w:val="auto"/>
            <w:sz w:val="24"/>
          </w:rPr>
          <w:t>www.kresge.org</w:t>
        </w:r>
      </w:hyperlink>
      <w:r w:rsidRPr="00C97F56">
        <w:rPr>
          <w:rFonts w:ascii="Times New Roman" w:hAnsi="Times New Roman" w:cs="Arial"/>
          <w:sz w:val="24"/>
        </w:rPr>
        <w:t>) and the Turner Foundation (</w:t>
      </w:r>
      <w:hyperlink r:id="rId23" w:history="1">
        <w:r w:rsidRPr="00C97F56">
          <w:rPr>
            <w:rStyle w:val="Hyperlink"/>
            <w:rFonts w:ascii="Times New Roman" w:hAnsi="Times New Roman" w:cs="Arial"/>
            <w:color w:val="auto"/>
            <w:sz w:val="24"/>
          </w:rPr>
          <w:t>www.turnerfoundation.org</w:t>
        </w:r>
      </w:hyperlink>
      <w:r w:rsidRPr="00C97F56">
        <w:rPr>
          <w:rFonts w:ascii="Times New Roman" w:hAnsi="Times New Roman" w:cs="Arial"/>
          <w:sz w:val="24"/>
        </w:rPr>
        <w:t>). The support of these three foundations is greatly appreciated.</w:t>
      </w:r>
    </w:p>
    <w:p w:rsidR="00AF0B92" w:rsidRPr="00C97F56" w:rsidRDefault="00AF0B92">
      <w:pPr>
        <w:spacing w:after="0" w:line="240" w:lineRule="auto"/>
        <w:rPr>
          <w:rFonts w:ascii="Times" w:hAnsi="Times"/>
          <w:b/>
          <w:sz w:val="24"/>
          <w:szCs w:val="24"/>
        </w:rPr>
      </w:pPr>
    </w:p>
    <w:p w:rsidR="000F2092" w:rsidRPr="00C97F56" w:rsidRDefault="000F2092" w:rsidP="00AD08C4">
      <w:pPr>
        <w:spacing w:after="0"/>
        <w:rPr>
          <w:rFonts w:ascii="Times" w:hAnsi="Times"/>
          <w:b/>
          <w:sz w:val="24"/>
          <w:szCs w:val="24"/>
        </w:rPr>
      </w:pPr>
      <w:r w:rsidRPr="00C97F56">
        <w:rPr>
          <w:rFonts w:ascii="Times" w:hAnsi="Times"/>
          <w:b/>
          <w:sz w:val="24"/>
          <w:szCs w:val="24"/>
        </w:rPr>
        <w:t>Footnotes and References</w:t>
      </w:r>
    </w:p>
    <w:p w:rsidR="000F2092" w:rsidRPr="00C97F56" w:rsidRDefault="000F2092" w:rsidP="002C3AD3">
      <w:pPr>
        <w:pStyle w:val="EndnoteText"/>
        <w:spacing w:after="0"/>
        <w:ind w:left="360" w:hanging="360"/>
        <w:rPr>
          <w:rFonts w:ascii="Times" w:hAnsi="Times"/>
          <w:i/>
          <w:szCs w:val="24"/>
        </w:rPr>
      </w:pPr>
      <w:r w:rsidRPr="00C97F56">
        <w:rPr>
          <w:rFonts w:ascii="Times" w:hAnsi="Times"/>
          <w:szCs w:val="24"/>
        </w:rPr>
        <w:t xml:space="preserve">1.  </w:t>
      </w:r>
      <w:r w:rsidR="002C3AD3">
        <w:rPr>
          <w:rFonts w:ascii="Times" w:hAnsi="Times"/>
          <w:szCs w:val="24"/>
        </w:rPr>
        <w:t xml:space="preserve">  </w:t>
      </w:r>
      <w:r w:rsidRPr="00C97F56">
        <w:rPr>
          <w:rFonts w:ascii="Times" w:hAnsi="Times"/>
          <w:szCs w:val="24"/>
        </w:rPr>
        <w:t xml:space="preserve">Marilyn A. Brown, Etan Gumerman, Xiaojing Sun, Youngsun Baek, Joy Wang, Rodrigo Cortes, and Diran Soumonni. (2010). </w:t>
      </w:r>
      <w:r w:rsidRPr="00C97F56">
        <w:rPr>
          <w:rFonts w:ascii="Times" w:hAnsi="Times"/>
          <w:i/>
          <w:szCs w:val="24"/>
        </w:rPr>
        <w:t xml:space="preserve">Energy Efficiency in the South. </w:t>
      </w:r>
      <w:r w:rsidR="00EA579B">
        <w:rPr>
          <w:rFonts w:ascii="Times" w:hAnsi="Times"/>
          <w:color w:val="000000"/>
        </w:rPr>
        <w:t xml:space="preserve">Retrieved from </w:t>
      </w:r>
      <w:r w:rsidR="00EA579B" w:rsidRPr="00AB436F">
        <w:rPr>
          <w:rFonts w:ascii="Times" w:hAnsi="Times"/>
          <w:color w:val="000000"/>
        </w:rPr>
        <w:t>http://www.seealliance.org/</w:t>
      </w:r>
      <w:r w:rsidR="00EA579B">
        <w:rPr>
          <w:rFonts w:ascii="Times" w:hAnsi="Times"/>
          <w:color w:val="000000"/>
        </w:rPr>
        <w:t>.</w:t>
      </w:r>
    </w:p>
    <w:p w:rsidR="000F2092" w:rsidRPr="00C97F56" w:rsidRDefault="000F2092" w:rsidP="000F2092">
      <w:pPr>
        <w:pStyle w:val="EndnoteText"/>
        <w:spacing w:after="0"/>
        <w:rPr>
          <w:rFonts w:ascii="Times" w:hAnsi="Times"/>
          <w:szCs w:val="24"/>
        </w:rPr>
      </w:pPr>
      <w:r w:rsidRPr="00C97F56">
        <w:rPr>
          <w:rFonts w:ascii="Times" w:hAnsi="Times"/>
          <w:szCs w:val="24"/>
        </w:rPr>
        <w:t xml:space="preserve">2.  </w:t>
      </w:r>
      <w:r w:rsidR="002C3AD3">
        <w:rPr>
          <w:rFonts w:ascii="Times" w:hAnsi="Times"/>
          <w:szCs w:val="24"/>
        </w:rPr>
        <w:t xml:space="preserve">  </w:t>
      </w:r>
      <w:r w:rsidRPr="00C97F56">
        <w:rPr>
          <w:rFonts w:ascii="Times" w:hAnsi="Times"/>
          <w:szCs w:val="24"/>
        </w:rPr>
        <w:t>Census Bureau (2009). Retrieved from:  http://www.census.gov/.</w:t>
      </w:r>
    </w:p>
    <w:p w:rsidR="000F2092" w:rsidRPr="00C97F56" w:rsidRDefault="000F2092" w:rsidP="002C3AD3">
      <w:pPr>
        <w:pStyle w:val="EndnoteText"/>
        <w:spacing w:after="0"/>
        <w:ind w:left="360" w:hanging="360"/>
        <w:rPr>
          <w:rFonts w:ascii="Times" w:hAnsi="Times"/>
          <w:szCs w:val="24"/>
        </w:rPr>
      </w:pPr>
      <w:r w:rsidRPr="00C97F56">
        <w:rPr>
          <w:rFonts w:ascii="Times" w:hAnsi="Times"/>
          <w:szCs w:val="24"/>
        </w:rPr>
        <w:t xml:space="preserve">3.  </w:t>
      </w:r>
      <w:r w:rsidR="002C3AD3">
        <w:rPr>
          <w:rFonts w:ascii="Times" w:hAnsi="Times"/>
          <w:szCs w:val="24"/>
        </w:rPr>
        <w:t xml:space="preserve">  </w:t>
      </w:r>
      <w:r w:rsidRPr="00C97F56">
        <w:rPr>
          <w:rFonts w:ascii="Times" w:hAnsi="Times"/>
          <w:szCs w:val="24"/>
        </w:rPr>
        <w:t xml:space="preserve">Energy Information Administration. (2009). </w:t>
      </w:r>
      <w:r w:rsidRPr="00C97F56">
        <w:rPr>
          <w:rFonts w:ascii="Times" w:hAnsi="Times"/>
          <w:i/>
          <w:szCs w:val="24"/>
        </w:rPr>
        <w:t>State Energy Data System</w:t>
      </w:r>
      <w:r w:rsidRPr="00C97F56">
        <w:rPr>
          <w:rFonts w:ascii="Times" w:hAnsi="Times"/>
          <w:szCs w:val="24"/>
        </w:rPr>
        <w:t>. Retrieved from: http://www.eia.doe.gov/emeu/states/_seds.html.</w:t>
      </w:r>
    </w:p>
    <w:p w:rsidR="000F2092" w:rsidRPr="00C97F56" w:rsidRDefault="000F2092" w:rsidP="000F2092">
      <w:pPr>
        <w:autoSpaceDE w:val="0"/>
        <w:autoSpaceDN w:val="0"/>
        <w:adjustRightInd w:val="0"/>
        <w:spacing w:after="0"/>
        <w:ind w:left="720" w:hanging="720"/>
        <w:rPr>
          <w:rFonts w:ascii="Times" w:hAnsi="Times"/>
          <w:sz w:val="20"/>
          <w:szCs w:val="24"/>
        </w:rPr>
      </w:pPr>
      <w:r w:rsidRPr="00C97F56">
        <w:rPr>
          <w:rFonts w:ascii="Times" w:hAnsi="Times"/>
          <w:sz w:val="20"/>
          <w:szCs w:val="24"/>
        </w:rPr>
        <w:t xml:space="preserve">4.  </w:t>
      </w:r>
      <w:r w:rsidR="002C3AD3">
        <w:rPr>
          <w:rFonts w:ascii="Times" w:hAnsi="Times"/>
          <w:sz w:val="20"/>
          <w:szCs w:val="24"/>
        </w:rPr>
        <w:t xml:space="preserve">  </w:t>
      </w:r>
      <w:r w:rsidRPr="00C97F56">
        <w:rPr>
          <w:rFonts w:ascii="Times" w:hAnsi="Times"/>
          <w:sz w:val="20"/>
          <w:szCs w:val="24"/>
        </w:rPr>
        <w:t xml:space="preserve">Southern States Energy Board. (2009). </w:t>
      </w:r>
      <w:r w:rsidRPr="00C97F56">
        <w:rPr>
          <w:rFonts w:ascii="Times" w:hAnsi="Times"/>
          <w:i/>
          <w:sz w:val="20"/>
          <w:szCs w:val="24"/>
        </w:rPr>
        <w:t>Digest of Climate Change and Energy Initiatives in the South</w:t>
      </w:r>
      <w:r w:rsidRPr="00C97F56">
        <w:rPr>
          <w:rFonts w:ascii="Times" w:hAnsi="Times"/>
          <w:sz w:val="20"/>
          <w:szCs w:val="24"/>
        </w:rPr>
        <w:t xml:space="preserve">. </w:t>
      </w:r>
    </w:p>
    <w:p w:rsidR="007D44EF" w:rsidRPr="00C97F56" w:rsidRDefault="007D44EF" w:rsidP="002C3AD3">
      <w:pPr>
        <w:pStyle w:val="EndnoteText"/>
        <w:spacing w:after="0"/>
        <w:ind w:left="360" w:hanging="360"/>
        <w:rPr>
          <w:rFonts w:ascii="Times" w:hAnsi="Times"/>
          <w:szCs w:val="24"/>
        </w:rPr>
      </w:pPr>
      <w:r w:rsidRPr="00C97F56">
        <w:rPr>
          <w:rFonts w:ascii="Times" w:hAnsi="Times"/>
          <w:szCs w:val="24"/>
        </w:rPr>
        <w:t xml:space="preserve">5.  </w:t>
      </w:r>
      <w:r w:rsidR="002C3AD3">
        <w:rPr>
          <w:rFonts w:ascii="Times" w:hAnsi="Times"/>
          <w:szCs w:val="24"/>
        </w:rPr>
        <w:t xml:space="preserve">  </w:t>
      </w:r>
      <w:r w:rsidRPr="00C97F56">
        <w:rPr>
          <w:rFonts w:ascii="Times" w:hAnsi="Times"/>
          <w:szCs w:val="24"/>
        </w:rPr>
        <w:t xml:space="preserve">DSIRE. (2009). </w:t>
      </w:r>
      <w:r w:rsidRPr="00C97F56">
        <w:rPr>
          <w:rFonts w:ascii="Times" w:hAnsi="Times"/>
          <w:i/>
          <w:szCs w:val="24"/>
        </w:rPr>
        <w:t>North Carolina: Incentives/Policies for Renewable &amp; Energy Efficiency</w:t>
      </w:r>
      <w:r w:rsidRPr="00C97F56">
        <w:rPr>
          <w:rFonts w:ascii="Times" w:hAnsi="Times"/>
          <w:szCs w:val="24"/>
        </w:rPr>
        <w:t xml:space="preserve">. Retrieved from: http://www.dsireusa.org/incentives/incentive.cfm?Incentive_Code=NC09R&amp;re=1&amp;ee=1. </w:t>
      </w:r>
    </w:p>
    <w:p w:rsidR="000F2092" w:rsidRPr="00C97F56" w:rsidRDefault="007D44EF" w:rsidP="000F2092">
      <w:pPr>
        <w:pStyle w:val="EndnoteText"/>
        <w:spacing w:after="0"/>
        <w:ind w:left="720" w:hanging="720"/>
        <w:rPr>
          <w:rFonts w:ascii="Times" w:hAnsi="Times"/>
          <w:szCs w:val="24"/>
        </w:rPr>
      </w:pPr>
      <w:r w:rsidRPr="00C97F56">
        <w:rPr>
          <w:rFonts w:ascii="Times" w:hAnsi="Times"/>
          <w:szCs w:val="24"/>
        </w:rPr>
        <w:t>6</w:t>
      </w:r>
      <w:r w:rsidR="000F2092" w:rsidRPr="00C97F56">
        <w:rPr>
          <w:rFonts w:ascii="Times" w:hAnsi="Times"/>
          <w:szCs w:val="24"/>
        </w:rPr>
        <w:t xml:space="preserve">.  </w:t>
      </w:r>
      <w:r w:rsidR="002C3AD3">
        <w:rPr>
          <w:rFonts w:ascii="Times" w:hAnsi="Times"/>
          <w:szCs w:val="24"/>
        </w:rPr>
        <w:t xml:space="preserve">  </w:t>
      </w:r>
      <w:r w:rsidR="000F2092" w:rsidRPr="00C97F56">
        <w:rPr>
          <w:rFonts w:ascii="Times" w:hAnsi="Times"/>
          <w:szCs w:val="24"/>
        </w:rPr>
        <w:t xml:space="preserve">National Association of State Energy Officials (2009). </w:t>
      </w:r>
      <w:r w:rsidR="000F2092" w:rsidRPr="00C97F56">
        <w:rPr>
          <w:rFonts w:ascii="Times" w:hAnsi="Times"/>
          <w:i/>
          <w:szCs w:val="24"/>
        </w:rPr>
        <w:t>State Energy Program and Activity Update</w:t>
      </w:r>
      <w:r w:rsidR="000F2092" w:rsidRPr="00C97F56">
        <w:rPr>
          <w:rFonts w:ascii="Times" w:hAnsi="Times"/>
          <w:szCs w:val="24"/>
        </w:rPr>
        <w:t>.</w:t>
      </w:r>
    </w:p>
    <w:p w:rsidR="000F2092" w:rsidRPr="00C97F56" w:rsidRDefault="007D44EF" w:rsidP="002C3AD3">
      <w:pPr>
        <w:pStyle w:val="EndnoteText"/>
        <w:spacing w:after="0"/>
        <w:ind w:left="360" w:hanging="360"/>
        <w:rPr>
          <w:rFonts w:ascii="Times" w:hAnsi="Times"/>
          <w:szCs w:val="24"/>
        </w:rPr>
      </w:pPr>
      <w:r w:rsidRPr="00C97F56">
        <w:rPr>
          <w:rFonts w:ascii="Times" w:hAnsi="Times"/>
          <w:szCs w:val="24"/>
        </w:rPr>
        <w:t>7</w:t>
      </w:r>
      <w:r w:rsidR="000F2092" w:rsidRPr="00C97F56">
        <w:rPr>
          <w:rFonts w:ascii="Times" w:hAnsi="Times"/>
          <w:szCs w:val="24"/>
        </w:rPr>
        <w:t xml:space="preserve">.  </w:t>
      </w:r>
      <w:r w:rsidR="002C3AD3">
        <w:rPr>
          <w:rFonts w:ascii="Times" w:hAnsi="Times"/>
          <w:szCs w:val="24"/>
        </w:rPr>
        <w:t xml:space="preserve">  </w:t>
      </w:r>
      <w:r w:rsidR="000F2092" w:rsidRPr="00C97F56">
        <w:rPr>
          <w:rFonts w:ascii="Times" w:hAnsi="Times"/>
          <w:szCs w:val="24"/>
        </w:rPr>
        <w:t>American Council for an Energy-</w:t>
      </w:r>
      <w:r w:rsidR="00BD170C" w:rsidRPr="00C97F56">
        <w:rPr>
          <w:rFonts w:ascii="Times" w:hAnsi="Times"/>
          <w:szCs w:val="24"/>
        </w:rPr>
        <w:t>Efficient</w:t>
      </w:r>
      <w:r w:rsidR="000F2092" w:rsidRPr="00C97F56">
        <w:rPr>
          <w:rFonts w:ascii="Times" w:hAnsi="Times"/>
          <w:szCs w:val="24"/>
        </w:rPr>
        <w:t xml:space="preserve"> Economy. (2009). </w:t>
      </w:r>
      <w:r w:rsidR="000F2092" w:rsidRPr="00C97F56">
        <w:rPr>
          <w:rFonts w:ascii="Times" w:hAnsi="Times"/>
          <w:i/>
          <w:szCs w:val="24"/>
        </w:rPr>
        <w:t>The 2009 State Energy Efficiency Scorecard</w:t>
      </w:r>
      <w:r w:rsidR="000F2092" w:rsidRPr="00C97F56">
        <w:rPr>
          <w:rFonts w:ascii="Times" w:hAnsi="Times"/>
          <w:szCs w:val="24"/>
        </w:rPr>
        <w:t>. Retrieved from http://aceee.org.</w:t>
      </w:r>
    </w:p>
    <w:p w:rsidR="000F2092" w:rsidRDefault="007D44EF" w:rsidP="002C3AD3">
      <w:pPr>
        <w:pStyle w:val="EndnoteText"/>
        <w:spacing w:after="0"/>
        <w:ind w:left="360" w:hanging="360"/>
        <w:rPr>
          <w:rFonts w:ascii="Times" w:hAnsi="Times"/>
          <w:szCs w:val="24"/>
        </w:rPr>
      </w:pPr>
      <w:r w:rsidRPr="00C97F56">
        <w:rPr>
          <w:rFonts w:ascii="Times" w:hAnsi="Times"/>
          <w:szCs w:val="24"/>
        </w:rPr>
        <w:t>8</w:t>
      </w:r>
      <w:r w:rsidR="000F2092" w:rsidRPr="00C97F56">
        <w:rPr>
          <w:rFonts w:ascii="Times" w:hAnsi="Times"/>
          <w:szCs w:val="24"/>
        </w:rPr>
        <w:t xml:space="preserve">.  </w:t>
      </w:r>
      <w:r w:rsidR="002C3AD3">
        <w:rPr>
          <w:rFonts w:ascii="Times" w:hAnsi="Times"/>
          <w:szCs w:val="24"/>
        </w:rPr>
        <w:t xml:space="preserve">  </w:t>
      </w:r>
      <w:r w:rsidR="000F2092" w:rsidRPr="00C97F56">
        <w:rPr>
          <w:rFonts w:ascii="Times" w:hAnsi="Times"/>
          <w:szCs w:val="24"/>
        </w:rPr>
        <w:t xml:space="preserve">Chandler, J. and M.A. Brown. (2009). </w:t>
      </w:r>
      <w:r w:rsidR="000F2092" w:rsidRPr="00C97F56">
        <w:rPr>
          <w:rFonts w:ascii="Times" w:hAnsi="Times"/>
          <w:i/>
          <w:szCs w:val="24"/>
        </w:rPr>
        <w:t>Meta-Review of Efficiency Potential Studies and Their Implications for the South.</w:t>
      </w:r>
      <w:r w:rsidR="000F2092" w:rsidRPr="00C97F56">
        <w:rPr>
          <w:rFonts w:ascii="Times" w:hAnsi="Times"/>
          <w:szCs w:val="24"/>
        </w:rPr>
        <w:t xml:space="preserve"> Retrieved from the Georgia Institute of Technology School of Public Policy website at: www.spp.gatech.edu/faculty/workingpapers/wp51.pdf.</w:t>
      </w:r>
    </w:p>
    <w:p w:rsidR="001621AE" w:rsidRPr="00C97F56" w:rsidRDefault="001621AE" w:rsidP="002C3AD3">
      <w:pPr>
        <w:pStyle w:val="EndnoteText"/>
        <w:spacing w:after="0"/>
        <w:ind w:left="360" w:hanging="360"/>
        <w:rPr>
          <w:rFonts w:ascii="Times" w:hAnsi="Times"/>
          <w:szCs w:val="24"/>
        </w:rPr>
      </w:pPr>
      <w:r>
        <w:rPr>
          <w:rFonts w:ascii="Times" w:hAnsi="Times"/>
          <w:szCs w:val="24"/>
        </w:rPr>
        <w:t xml:space="preserve">9.    </w:t>
      </w:r>
      <w:r w:rsidRPr="00C97F56">
        <w:rPr>
          <w:rFonts w:ascii="Times" w:hAnsi="Times"/>
          <w:szCs w:val="24"/>
        </w:rPr>
        <w:t>American Council for an Energy-</w:t>
      </w:r>
      <w:r w:rsidR="00BD170C" w:rsidRPr="00C97F56">
        <w:rPr>
          <w:rFonts w:ascii="Times" w:hAnsi="Times"/>
          <w:szCs w:val="24"/>
        </w:rPr>
        <w:t>Efficient</w:t>
      </w:r>
      <w:r w:rsidRPr="00C97F56">
        <w:rPr>
          <w:rFonts w:ascii="Times" w:hAnsi="Times"/>
          <w:szCs w:val="24"/>
        </w:rPr>
        <w:t xml:space="preserve"> Economy</w:t>
      </w:r>
      <w:r>
        <w:rPr>
          <w:rFonts w:ascii="Times" w:hAnsi="Times"/>
          <w:szCs w:val="24"/>
        </w:rPr>
        <w:t xml:space="preserve"> (2010). </w:t>
      </w:r>
      <w:r w:rsidRPr="001621AE">
        <w:rPr>
          <w:rFonts w:ascii="Times" w:hAnsi="Times"/>
          <w:i/>
          <w:szCs w:val="24"/>
        </w:rPr>
        <w:t>North Carolina’s Energy Future: Electricity, Water, and Transportation Efficiency</w:t>
      </w:r>
      <w:r>
        <w:rPr>
          <w:rFonts w:ascii="Times" w:hAnsi="Times"/>
          <w:szCs w:val="24"/>
        </w:rPr>
        <w:t>.</w:t>
      </w:r>
    </w:p>
    <w:p w:rsidR="004433E6" w:rsidRPr="001621AE" w:rsidRDefault="001621AE" w:rsidP="002C3AD3">
      <w:pPr>
        <w:widowControl w:val="0"/>
        <w:autoSpaceDE w:val="0"/>
        <w:autoSpaceDN w:val="0"/>
        <w:adjustRightInd w:val="0"/>
        <w:spacing w:after="0" w:line="240" w:lineRule="auto"/>
        <w:ind w:left="360" w:hanging="360"/>
        <w:rPr>
          <w:rFonts w:ascii="Times" w:hAnsi="Times"/>
          <w:sz w:val="20"/>
          <w:szCs w:val="24"/>
        </w:rPr>
      </w:pPr>
      <w:r w:rsidRPr="001621AE">
        <w:rPr>
          <w:rFonts w:ascii="Times" w:hAnsi="Times"/>
          <w:sz w:val="20"/>
          <w:szCs w:val="24"/>
        </w:rPr>
        <w:t xml:space="preserve">10. </w:t>
      </w:r>
      <w:r w:rsidR="002C3AD3" w:rsidRPr="001621AE">
        <w:rPr>
          <w:rFonts w:ascii="Times" w:hAnsi="Times"/>
          <w:sz w:val="20"/>
          <w:szCs w:val="24"/>
        </w:rPr>
        <w:t xml:space="preserve"> </w:t>
      </w:r>
      <w:r w:rsidR="000F2092" w:rsidRPr="001621AE">
        <w:rPr>
          <w:rFonts w:ascii="Times" w:hAnsi="Times"/>
          <w:sz w:val="20"/>
          <w:szCs w:val="24"/>
        </w:rPr>
        <w:t>A power plant is approximated as a 500 MW power plant as d</w:t>
      </w:r>
      <w:r w:rsidR="004433E6" w:rsidRPr="001621AE">
        <w:rPr>
          <w:rFonts w:ascii="Times" w:hAnsi="Times"/>
          <w:sz w:val="20"/>
          <w:szCs w:val="24"/>
        </w:rPr>
        <w:t>efined by Koomey, J. et al. (2010</w:t>
      </w:r>
      <w:r w:rsidR="000F2092" w:rsidRPr="001621AE">
        <w:rPr>
          <w:rFonts w:ascii="Times" w:hAnsi="Times"/>
          <w:sz w:val="20"/>
          <w:szCs w:val="24"/>
        </w:rPr>
        <w:t xml:space="preserve">). Defining a </w:t>
      </w:r>
      <w:r w:rsidR="004433E6" w:rsidRPr="001621AE">
        <w:rPr>
          <w:rFonts w:ascii="Times" w:hAnsi="Times"/>
          <w:sz w:val="20"/>
          <w:szCs w:val="24"/>
        </w:rPr>
        <w:t>Standard Metric for Electricity S</w:t>
      </w:r>
      <w:r w:rsidR="000F2092" w:rsidRPr="001621AE">
        <w:rPr>
          <w:rFonts w:ascii="Times" w:hAnsi="Times"/>
          <w:sz w:val="20"/>
          <w:szCs w:val="24"/>
        </w:rPr>
        <w:t>avings. Environ. Res. Lett</w:t>
      </w:r>
      <w:r w:rsidR="004433E6" w:rsidRPr="001621AE">
        <w:rPr>
          <w:rFonts w:ascii="Times" w:hAnsi="Times"/>
          <w:sz w:val="20"/>
          <w:szCs w:val="24"/>
        </w:rPr>
        <w:t xml:space="preserve">. 5 014017  Retrieved at </w:t>
      </w:r>
    </w:p>
    <w:p w:rsidR="004433E6" w:rsidRPr="002C3AD3" w:rsidRDefault="00B7259B" w:rsidP="002C3AD3">
      <w:pPr>
        <w:pStyle w:val="EndnoteText"/>
        <w:spacing w:after="0"/>
        <w:ind w:left="360"/>
        <w:rPr>
          <w:rFonts w:ascii="Times" w:hAnsi="Times"/>
          <w:szCs w:val="24"/>
        </w:rPr>
      </w:pPr>
      <w:hyperlink r:id="rId24" w:history="1">
        <w:r w:rsidR="004433E6" w:rsidRPr="001621AE">
          <w:rPr>
            <w:rFonts w:ascii="Times" w:hAnsi="Times"/>
            <w:szCs w:val="24"/>
          </w:rPr>
          <w:t>http://iopscience.iop.org/1748-9326/5/1/014017</w:t>
        </w:r>
      </w:hyperlink>
      <w:r w:rsidR="004433E6" w:rsidRPr="001621AE">
        <w:rPr>
          <w:rFonts w:ascii="Times" w:hAnsi="Times"/>
          <w:szCs w:val="24"/>
        </w:rPr>
        <w:t>.</w:t>
      </w:r>
    </w:p>
    <w:p w:rsidR="000F2092" w:rsidRPr="00C97F56" w:rsidRDefault="007D44EF" w:rsidP="002C3AD3">
      <w:pPr>
        <w:pStyle w:val="EndnoteText"/>
        <w:spacing w:after="0"/>
        <w:ind w:left="360" w:hanging="360"/>
        <w:rPr>
          <w:rFonts w:ascii="Times" w:hAnsi="Times"/>
          <w:szCs w:val="24"/>
        </w:rPr>
      </w:pPr>
      <w:r w:rsidRPr="00C97F56">
        <w:rPr>
          <w:rFonts w:ascii="Times" w:hAnsi="Times"/>
          <w:szCs w:val="24"/>
        </w:rPr>
        <w:t>1</w:t>
      </w:r>
      <w:r w:rsidR="001621AE">
        <w:rPr>
          <w:rFonts w:ascii="Times" w:hAnsi="Times"/>
          <w:szCs w:val="24"/>
        </w:rPr>
        <w:t>1</w:t>
      </w:r>
      <w:r w:rsidR="000F2092" w:rsidRPr="00C97F56">
        <w:rPr>
          <w:rFonts w:ascii="Times" w:hAnsi="Times"/>
          <w:szCs w:val="24"/>
        </w:rPr>
        <w:t xml:space="preserve">.  The Wal-Mart equivalencies are calculated using information from Courtemanch, A. and L. Bensheimer. (2005). Environmental Impacts of the Proposed Wal-Mart Supercenter in Potsdam. </w:t>
      </w:r>
      <w:r w:rsidR="000F2092" w:rsidRPr="00C97F56">
        <w:rPr>
          <w:rFonts w:ascii="Times" w:hAnsi="Times"/>
          <w:i/>
          <w:szCs w:val="24"/>
        </w:rPr>
        <w:t>Conservation Biology</w:t>
      </w:r>
      <w:r w:rsidR="000F2092" w:rsidRPr="00C97F56">
        <w:rPr>
          <w:rFonts w:ascii="Times" w:hAnsi="Times"/>
          <w:szCs w:val="24"/>
        </w:rPr>
        <w:t>.</w:t>
      </w:r>
    </w:p>
    <w:p w:rsidR="000F2092" w:rsidRPr="00C97F56" w:rsidRDefault="007D44EF" w:rsidP="002C3AD3">
      <w:pPr>
        <w:spacing w:after="0"/>
        <w:ind w:left="360" w:hanging="360"/>
        <w:rPr>
          <w:rFonts w:ascii="Times" w:hAnsi="Times"/>
          <w:sz w:val="20"/>
          <w:szCs w:val="24"/>
        </w:rPr>
      </w:pPr>
      <w:r w:rsidRPr="00C97F56">
        <w:rPr>
          <w:rFonts w:ascii="Times" w:hAnsi="Times"/>
          <w:sz w:val="20"/>
          <w:szCs w:val="24"/>
        </w:rPr>
        <w:t>1</w:t>
      </w:r>
      <w:r w:rsidR="001621AE">
        <w:rPr>
          <w:rFonts w:ascii="Times" w:hAnsi="Times"/>
          <w:sz w:val="20"/>
          <w:szCs w:val="24"/>
        </w:rPr>
        <w:t>2</w:t>
      </w:r>
      <w:r w:rsidR="000F2092" w:rsidRPr="00C97F56">
        <w:rPr>
          <w:rFonts w:ascii="Times" w:hAnsi="Times"/>
          <w:sz w:val="20"/>
          <w:szCs w:val="24"/>
        </w:rPr>
        <w:t xml:space="preserve">.  Energy Star. (2009). </w:t>
      </w:r>
      <w:r w:rsidR="000F2092" w:rsidRPr="00C97F56">
        <w:rPr>
          <w:rFonts w:ascii="Times" w:hAnsi="Times"/>
          <w:i/>
          <w:sz w:val="20"/>
          <w:szCs w:val="24"/>
        </w:rPr>
        <w:t>Save Money and More with ENERGY STAR Qualified Heat Pump Water Heaters</w:t>
      </w:r>
      <w:r w:rsidR="000F2092" w:rsidRPr="00C97F56">
        <w:rPr>
          <w:rFonts w:ascii="Times" w:hAnsi="Times"/>
          <w:sz w:val="20"/>
          <w:szCs w:val="24"/>
        </w:rPr>
        <w:t>. Retrieved from: http://www.energystar.gov/index.cfm?c=heat_ pump.pr_savings_benefits.</w:t>
      </w:r>
    </w:p>
    <w:p w:rsidR="000F2092" w:rsidRPr="00C97F56" w:rsidRDefault="000F2092" w:rsidP="002C3AD3">
      <w:pPr>
        <w:autoSpaceDE w:val="0"/>
        <w:autoSpaceDN w:val="0"/>
        <w:adjustRightInd w:val="0"/>
        <w:spacing w:after="0"/>
        <w:ind w:left="360"/>
        <w:rPr>
          <w:rFonts w:ascii="Times" w:hAnsi="Times"/>
          <w:sz w:val="20"/>
          <w:szCs w:val="24"/>
        </w:rPr>
      </w:pPr>
      <w:r w:rsidRPr="00C97F56">
        <w:rPr>
          <w:rFonts w:ascii="Times" w:hAnsi="Times"/>
          <w:sz w:val="20"/>
          <w:szCs w:val="24"/>
        </w:rPr>
        <w:t>20Press%20Release.pdf.</w:t>
      </w:r>
    </w:p>
    <w:p w:rsidR="000F2092" w:rsidRPr="00C97F56" w:rsidRDefault="007D44EF" w:rsidP="002C3AD3">
      <w:pPr>
        <w:pStyle w:val="Heading1"/>
        <w:spacing w:before="0" w:beforeAutospacing="0" w:after="0" w:afterAutospacing="0"/>
        <w:ind w:left="360" w:hanging="360"/>
        <w:rPr>
          <w:rFonts w:ascii="Times" w:hAnsi="Times"/>
          <w:b w:val="0"/>
          <w:sz w:val="20"/>
          <w:szCs w:val="24"/>
        </w:rPr>
      </w:pPr>
      <w:r w:rsidRPr="00C97F56">
        <w:rPr>
          <w:rFonts w:ascii="Times" w:hAnsi="Times"/>
          <w:b w:val="0"/>
          <w:sz w:val="20"/>
          <w:szCs w:val="24"/>
        </w:rPr>
        <w:t>1</w:t>
      </w:r>
      <w:r w:rsidR="001621AE">
        <w:rPr>
          <w:rFonts w:ascii="Times" w:hAnsi="Times"/>
          <w:b w:val="0"/>
          <w:sz w:val="20"/>
          <w:szCs w:val="24"/>
        </w:rPr>
        <w:t>3</w:t>
      </w:r>
      <w:r w:rsidR="000F2092" w:rsidRPr="00C97F56">
        <w:rPr>
          <w:rFonts w:ascii="Times" w:hAnsi="Times"/>
          <w:b w:val="0"/>
          <w:sz w:val="20"/>
          <w:szCs w:val="24"/>
        </w:rPr>
        <w:t xml:space="preserve">.  Energy Efficiency and Renewable Energy. (2008). </w:t>
      </w:r>
      <w:r w:rsidR="000F2092" w:rsidRPr="00C97F56">
        <w:rPr>
          <w:rFonts w:ascii="Times" w:eastAsia="SimSun" w:hAnsi="Times"/>
          <w:b w:val="0"/>
          <w:bCs w:val="0"/>
          <w:i/>
          <w:kern w:val="0"/>
          <w:sz w:val="20"/>
          <w:szCs w:val="24"/>
        </w:rPr>
        <w:t>Benefits of Geothermal Heat Pump System</w:t>
      </w:r>
      <w:r w:rsidR="000F2092" w:rsidRPr="00C97F56">
        <w:rPr>
          <w:rFonts w:ascii="Times" w:eastAsia="SimSun" w:hAnsi="Times"/>
          <w:b w:val="0"/>
          <w:bCs w:val="0"/>
          <w:kern w:val="0"/>
          <w:sz w:val="20"/>
          <w:szCs w:val="24"/>
        </w:rPr>
        <w:t xml:space="preserve">s. Retrieved from: </w:t>
      </w:r>
      <w:r w:rsidR="000F2092" w:rsidRPr="00C97F56">
        <w:rPr>
          <w:rFonts w:ascii="Times" w:hAnsi="Times"/>
          <w:b w:val="0"/>
          <w:sz w:val="20"/>
          <w:szCs w:val="24"/>
        </w:rPr>
        <w:t>http://www.energysavers.gov/your_home/space_heating_cooling/index.cfm/ mytopic=12660.</w:t>
      </w:r>
    </w:p>
    <w:p w:rsidR="000F2092" w:rsidRPr="00C97F56" w:rsidRDefault="007D44EF" w:rsidP="002C3AD3">
      <w:pPr>
        <w:pStyle w:val="Heading1"/>
        <w:spacing w:before="0" w:beforeAutospacing="0" w:after="0" w:afterAutospacing="0"/>
        <w:ind w:left="360" w:hanging="360"/>
        <w:rPr>
          <w:rFonts w:ascii="Times" w:hAnsi="Times"/>
          <w:b w:val="0"/>
          <w:sz w:val="20"/>
          <w:szCs w:val="24"/>
        </w:rPr>
      </w:pPr>
      <w:r w:rsidRPr="00C97F56">
        <w:rPr>
          <w:rFonts w:ascii="Times" w:hAnsi="Times"/>
          <w:b w:val="0"/>
          <w:sz w:val="20"/>
          <w:szCs w:val="24"/>
        </w:rPr>
        <w:t>1</w:t>
      </w:r>
      <w:r w:rsidR="001621AE">
        <w:rPr>
          <w:rFonts w:ascii="Times" w:hAnsi="Times"/>
          <w:b w:val="0"/>
          <w:sz w:val="20"/>
          <w:szCs w:val="24"/>
        </w:rPr>
        <w:t>4</w:t>
      </w:r>
      <w:r w:rsidR="000F2092" w:rsidRPr="00C97F56">
        <w:rPr>
          <w:rFonts w:ascii="Times" w:hAnsi="Times"/>
          <w:b w:val="0"/>
          <w:sz w:val="20"/>
          <w:szCs w:val="24"/>
        </w:rPr>
        <w:t xml:space="preserve">. </w:t>
      </w:r>
      <w:r w:rsidR="000F2092" w:rsidRPr="00C97F56">
        <w:rPr>
          <w:rFonts w:ascii="Times" w:hAnsi="Times"/>
          <w:b w:val="0"/>
          <w:sz w:val="44"/>
          <w:szCs w:val="24"/>
        </w:rPr>
        <w:t xml:space="preserve"> </w:t>
      </w:r>
      <w:r w:rsidR="000F2092" w:rsidRPr="00C97F56">
        <w:rPr>
          <w:rFonts w:ascii="Times" w:eastAsia="SimSun" w:hAnsi="Times"/>
          <w:b w:val="0"/>
          <w:bCs w:val="0"/>
          <w:kern w:val="0"/>
          <w:sz w:val="20"/>
          <w:szCs w:val="24"/>
        </w:rPr>
        <w:t xml:space="preserve">Energy Efficiency and Renewable Energy, Industrial Technologies Program. (2008). </w:t>
      </w:r>
      <w:r w:rsidR="000F2092" w:rsidRPr="00C97F56">
        <w:rPr>
          <w:rFonts w:ascii="Times" w:eastAsia="SimSun" w:hAnsi="Times"/>
          <w:b w:val="0"/>
          <w:bCs w:val="0"/>
          <w:i/>
          <w:kern w:val="0"/>
          <w:sz w:val="20"/>
          <w:szCs w:val="24"/>
        </w:rPr>
        <w:t>Super Boiler: A Super Hero of Steam Generation</w:t>
      </w:r>
      <w:r w:rsidR="000F2092" w:rsidRPr="00C97F56">
        <w:rPr>
          <w:rFonts w:ascii="Times" w:eastAsia="SimSun" w:hAnsi="Times"/>
          <w:b w:val="0"/>
          <w:bCs w:val="0"/>
          <w:kern w:val="0"/>
          <w:sz w:val="20"/>
          <w:szCs w:val="24"/>
        </w:rPr>
        <w:t xml:space="preserve">. </w:t>
      </w:r>
      <w:r w:rsidR="000F2092" w:rsidRPr="00C97F56">
        <w:rPr>
          <w:rFonts w:ascii="Times" w:hAnsi="Times"/>
          <w:b w:val="0"/>
          <w:sz w:val="20"/>
          <w:szCs w:val="24"/>
        </w:rPr>
        <w:t>http://www1.eere.energy.gov/industry/bestpractices/ energymatters/archives/winter2008.html#a265.</w:t>
      </w:r>
    </w:p>
    <w:p w:rsidR="002C3AD3" w:rsidRPr="0058538C" w:rsidRDefault="002C3AD3" w:rsidP="002C3AD3">
      <w:pPr>
        <w:pStyle w:val="Heading1"/>
        <w:spacing w:before="0" w:beforeAutospacing="0" w:after="0" w:afterAutospacing="0"/>
        <w:ind w:left="360" w:hanging="360"/>
        <w:rPr>
          <w:rFonts w:ascii="Times" w:hAnsi="Times"/>
          <w:b w:val="0"/>
          <w:sz w:val="20"/>
          <w:szCs w:val="24"/>
        </w:rPr>
      </w:pPr>
      <w:r w:rsidRPr="0058538C">
        <w:rPr>
          <w:rFonts w:ascii="Times" w:hAnsi="Times"/>
          <w:b w:val="0"/>
          <w:sz w:val="20"/>
          <w:szCs w:val="24"/>
        </w:rPr>
        <w:t>1</w:t>
      </w:r>
      <w:r w:rsidR="001621AE">
        <w:rPr>
          <w:rFonts w:ascii="Times" w:hAnsi="Times"/>
          <w:b w:val="0"/>
          <w:sz w:val="20"/>
          <w:szCs w:val="24"/>
        </w:rPr>
        <w:t>5</w:t>
      </w:r>
      <w:r w:rsidRPr="0058538C">
        <w:rPr>
          <w:rFonts w:ascii="Times" w:hAnsi="Times"/>
          <w:b w:val="0"/>
          <w:sz w:val="20"/>
          <w:szCs w:val="24"/>
        </w:rPr>
        <w:t xml:space="preserve">. </w:t>
      </w:r>
      <w:r>
        <w:rPr>
          <w:rFonts w:ascii="Times" w:hAnsi="Times"/>
          <w:b w:val="0"/>
          <w:sz w:val="20"/>
          <w:szCs w:val="24"/>
        </w:rPr>
        <w:t xml:space="preserve"> </w:t>
      </w:r>
      <w:r w:rsidRPr="0058538C">
        <w:rPr>
          <w:rFonts w:ascii="Times" w:hAnsi="Times"/>
          <w:b w:val="0"/>
          <w:sz w:val="20"/>
          <w:szCs w:val="24"/>
        </w:rPr>
        <w:t>Energy Information Administration. (2009). State Energy Data System. Retrieved from: http://www.eia.doe.gov/</w:t>
      </w:r>
      <w:r>
        <w:rPr>
          <w:rFonts w:ascii="Times" w:hAnsi="Times"/>
          <w:b w:val="0"/>
          <w:sz w:val="20"/>
          <w:szCs w:val="24"/>
        </w:rPr>
        <w:t xml:space="preserve"> </w:t>
      </w:r>
      <w:r w:rsidRPr="0058538C">
        <w:rPr>
          <w:rFonts w:ascii="Times" w:hAnsi="Times"/>
          <w:b w:val="0"/>
          <w:sz w:val="20"/>
          <w:szCs w:val="24"/>
        </w:rPr>
        <w:t>emeu/states/_seds.html.</w:t>
      </w:r>
    </w:p>
    <w:p w:rsidR="002C3AD3" w:rsidRPr="0058538C" w:rsidRDefault="002C3AD3" w:rsidP="002C3AD3">
      <w:pPr>
        <w:pStyle w:val="Heading1"/>
        <w:spacing w:before="0" w:beforeAutospacing="0" w:after="0" w:afterAutospacing="0"/>
        <w:ind w:left="360" w:hanging="360"/>
        <w:rPr>
          <w:rFonts w:ascii="Times" w:hAnsi="Times"/>
          <w:b w:val="0"/>
          <w:sz w:val="20"/>
          <w:szCs w:val="24"/>
        </w:rPr>
      </w:pPr>
      <w:r w:rsidRPr="0058538C">
        <w:rPr>
          <w:rFonts w:ascii="Times" w:hAnsi="Times"/>
          <w:b w:val="0"/>
          <w:sz w:val="20"/>
          <w:szCs w:val="24"/>
        </w:rPr>
        <w:t>1</w:t>
      </w:r>
      <w:r w:rsidR="001621AE">
        <w:rPr>
          <w:rFonts w:ascii="Times" w:hAnsi="Times"/>
          <w:b w:val="0"/>
          <w:sz w:val="20"/>
          <w:szCs w:val="24"/>
        </w:rPr>
        <w:t>6</w:t>
      </w:r>
      <w:r w:rsidRPr="0058538C">
        <w:rPr>
          <w:rFonts w:ascii="Times" w:hAnsi="Times"/>
          <w:b w:val="0"/>
          <w:sz w:val="20"/>
          <w:szCs w:val="24"/>
        </w:rPr>
        <w:t xml:space="preserve">. </w:t>
      </w:r>
      <w:r w:rsidR="003627D7">
        <w:rPr>
          <w:rFonts w:ascii="Times" w:hAnsi="Times"/>
          <w:b w:val="0"/>
          <w:sz w:val="20"/>
          <w:szCs w:val="24"/>
        </w:rPr>
        <w:t xml:space="preserve"> </w:t>
      </w:r>
      <w:r w:rsidRPr="0058538C">
        <w:rPr>
          <w:rFonts w:ascii="Times" w:hAnsi="Times"/>
          <w:b w:val="0"/>
          <w:sz w:val="20"/>
          <w:szCs w:val="24"/>
        </w:rPr>
        <w:t>Bureau of Labor Statistics.  (2010) Civilian labor force and unemployment by state and selected area, seasonally adjusted (Last modified: January 22, 2010, Accessed: March 9, 2010). http://www.bls.gov/news.release/laus.</w:t>
      </w:r>
      <w:r>
        <w:rPr>
          <w:rFonts w:ascii="Times" w:hAnsi="Times"/>
          <w:b w:val="0"/>
          <w:sz w:val="20"/>
          <w:szCs w:val="24"/>
        </w:rPr>
        <w:t xml:space="preserve"> </w:t>
      </w:r>
      <w:r w:rsidRPr="0058538C">
        <w:rPr>
          <w:rFonts w:ascii="Times" w:hAnsi="Times"/>
          <w:b w:val="0"/>
          <w:sz w:val="20"/>
          <w:szCs w:val="24"/>
        </w:rPr>
        <w:t xml:space="preserve">t03.htm  </w:t>
      </w:r>
    </w:p>
    <w:p w:rsidR="000F2092" w:rsidRPr="00C97F56" w:rsidRDefault="002C3AD3" w:rsidP="002C3AD3">
      <w:pPr>
        <w:pStyle w:val="Heading1"/>
        <w:spacing w:before="0" w:beforeAutospacing="0" w:after="0" w:afterAutospacing="0"/>
        <w:ind w:left="360" w:hanging="360"/>
        <w:rPr>
          <w:rFonts w:ascii="Times" w:hAnsi="Times"/>
          <w:sz w:val="24"/>
          <w:szCs w:val="24"/>
        </w:rPr>
      </w:pPr>
      <w:r w:rsidRPr="0058538C">
        <w:rPr>
          <w:rFonts w:ascii="Times" w:hAnsi="Times"/>
          <w:b w:val="0"/>
          <w:sz w:val="20"/>
          <w:szCs w:val="24"/>
        </w:rPr>
        <w:t>1</w:t>
      </w:r>
      <w:r w:rsidR="003627D7">
        <w:rPr>
          <w:rFonts w:ascii="Times" w:hAnsi="Times"/>
          <w:b w:val="0"/>
          <w:sz w:val="20"/>
          <w:szCs w:val="24"/>
        </w:rPr>
        <w:t>7</w:t>
      </w:r>
      <w:r w:rsidRPr="0058538C">
        <w:rPr>
          <w:rFonts w:ascii="Times" w:hAnsi="Times"/>
          <w:b w:val="0"/>
          <w:sz w:val="20"/>
          <w:szCs w:val="24"/>
        </w:rPr>
        <w:t xml:space="preserve">. </w:t>
      </w:r>
      <w:r>
        <w:rPr>
          <w:rFonts w:ascii="Times" w:hAnsi="Times"/>
          <w:b w:val="0"/>
          <w:sz w:val="20"/>
          <w:szCs w:val="24"/>
        </w:rPr>
        <w:t xml:space="preserve">  </w:t>
      </w:r>
      <w:r w:rsidRPr="0058538C">
        <w:rPr>
          <w:rFonts w:ascii="Times" w:hAnsi="Times"/>
          <w:b w:val="0"/>
          <w:sz w:val="20"/>
          <w:szCs w:val="24"/>
        </w:rPr>
        <w:t>2007 GSP in 2007$: Bureau of Economic Analysis</w:t>
      </w:r>
      <w:r>
        <w:rPr>
          <w:rFonts w:ascii="Times" w:hAnsi="Times"/>
          <w:b w:val="0"/>
          <w:sz w:val="20"/>
          <w:szCs w:val="24"/>
        </w:rPr>
        <w:t xml:space="preserve">.  (2008). </w:t>
      </w:r>
      <w:r w:rsidRPr="0058538C">
        <w:rPr>
          <w:rFonts w:ascii="Times" w:hAnsi="Times"/>
          <w:b w:val="0"/>
          <w:sz w:val="20"/>
          <w:szCs w:val="24"/>
        </w:rPr>
        <w:t xml:space="preserve">GDP by State. </w:t>
      </w:r>
      <w:r>
        <w:rPr>
          <w:rFonts w:ascii="Times" w:hAnsi="Times"/>
          <w:b w:val="0"/>
          <w:sz w:val="20"/>
          <w:szCs w:val="24"/>
        </w:rPr>
        <w:t>Retrieved from: h</w:t>
      </w:r>
      <w:r w:rsidRPr="0058538C">
        <w:rPr>
          <w:rFonts w:ascii="Times" w:hAnsi="Times"/>
          <w:b w:val="0"/>
          <w:sz w:val="20"/>
          <w:szCs w:val="24"/>
        </w:rPr>
        <w:t>ttp://www.bea.gov/</w:t>
      </w:r>
      <w:r>
        <w:rPr>
          <w:rFonts w:ascii="Times" w:hAnsi="Times"/>
          <w:b w:val="0"/>
          <w:sz w:val="20"/>
          <w:szCs w:val="24"/>
        </w:rPr>
        <w:t xml:space="preserve"> </w:t>
      </w:r>
      <w:r w:rsidRPr="0058538C">
        <w:rPr>
          <w:rFonts w:ascii="Times" w:hAnsi="Times"/>
          <w:b w:val="0"/>
          <w:sz w:val="20"/>
          <w:szCs w:val="24"/>
        </w:rPr>
        <w:t>newsreleases/regional/gdp_state/gsp_newsrelease.htm.</w:t>
      </w:r>
    </w:p>
    <w:sectPr w:rsidR="000F2092" w:rsidRPr="00C97F56" w:rsidSect="005D29BC">
      <w:headerReference w:type="default" r:id="rId25"/>
      <w:footerReference w:type="even" r:id="rId26"/>
      <w:footerReference w:type="default" r:id="rId27"/>
      <w:pgSz w:w="12240" w:h="15840"/>
      <w:pgMar w:top="1440" w:right="1080" w:bottom="126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4C" w:rsidRDefault="0099024C" w:rsidP="00DB06C7">
      <w:pPr>
        <w:spacing w:after="0" w:line="240" w:lineRule="auto"/>
      </w:pPr>
      <w:r>
        <w:separator/>
      </w:r>
    </w:p>
  </w:endnote>
  <w:endnote w:type="continuationSeparator" w:id="0">
    <w:p w:rsidR="0099024C" w:rsidRDefault="0099024C" w:rsidP="00DB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3D" w:rsidRDefault="00B7259B" w:rsidP="00BC533D">
    <w:pPr>
      <w:pStyle w:val="Footer"/>
      <w:framePr w:wrap="around" w:vAnchor="text" w:hAnchor="margin" w:xAlign="center" w:y="1"/>
      <w:rPr>
        <w:rStyle w:val="PageNumber"/>
      </w:rPr>
    </w:pPr>
    <w:r>
      <w:rPr>
        <w:rStyle w:val="PageNumber"/>
      </w:rPr>
      <w:fldChar w:fldCharType="begin"/>
    </w:r>
    <w:r w:rsidR="00BC533D">
      <w:rPr>
        <w:rStyle w:val="PageNumber"/>
      </w:rPr>
      <w:instrText xml:space="preserve">PAGE  </w:instrText>
    </w:r>
    <w:r>
      <w:rPr>
        <w:rStyle w:val="PageNumber"/>
      </w:rPr>
      <w:fldChar w:fldCharType="end"/>
    </w:r>
  </w:p>
  <w:p w:rsidR="00BC533D" w:rsidRDefault="00BC533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3D" w:rsidRPr="004F6D15" w:rsidRDefault="00B7259B" w:rsidP="00BC533D">
    <w:pPr>
      <w:pStyle w:val="Footer"/>
      <w:framePr w:wrap="around" w:vAnchor="text" w:hAnchor="margin" w:xAlign="center" w:y="1"/>
      <w:rPr>
        <w:rStyle w:val="PageNumber"/>
      </w:rPr>
    </w:pPr>
    <w:r w:rsidRPr="004F6D15">
      <w:rPr>
        <w:rStyle w:val="PageNumber"/>
        <w:rFonts w:ascii="Times New Roman" w:hAnsi="Times New Roman"/>
        <w:sz w:val="24"/>
        <w:szCs w:val="24"/>
      </w:rPr>
      <w:fldChar w:fldCharType="begin"/>
    </w:r>
    <w:r w:rsidR="00BC533D" w:rsidRPr="004F6D15">
      <w:rPr>
        <w:rStyle w:val="PageNumber"/>
        <w:rFonts w:ascii="Times New Roman" w:hAnsi="Times New Roman"/>
        <w:sz w:val="24"/>
        <w:szCs w:val="24"/>
      </w:rPr>
      <w:instrText xml:space="preserve">PAGE  </w:instrText>
    </w:r>
    <w:r w:rsidRPr="004F6D15">
      <w:rPr>
        <w:rStyle w:val="PageNumber"/>
        <w:rFonts w:ascii="Times New Roman" w:hAnsi="Times New Roman"/>
        <w:sz w:val="24"/>
        <w:szCs w:val="24"/>
      </w:rPr>
      <w:fldChar w:fldCharType="separate"/>
    </w:r>
    <w:r w:rsidR="00E87B43">
      <w:rPr>
        <w:rStyle w:val="PageNumber"/>
        <w:rFonts w:ascii="Times New Roman" w:hAnsi="Times New Roman"/>
        <w:noProof/>
        <w:sz w:val="24"/>
        <w:szCs w:val="24"/>
      </w:rPr>
      <w:t>2</w:t>
    </w:r>
    <w:r w:rsidRPr="004F6D15">
      <w:rPr>
        <w:rStyle w:val="PageNumber"/>
        <w:rFonts w:ascii="Times New Roman" w:hAnsi="Times New Roman"/>
        <w:sz w:val="24"/>
        <w:szCs w:val="24"/>
      </w:rPr>
      <w:fldChar w:fldCharType="end"/>
    </w:r>
  </w:p>
  <w:p w:rsidR="00BC533D" w:rsidRPr="00DB06C7" w:rsidRDefault="00BC533D">
    <w:pPr>
      <w:pStyle w:val="Footer"/>
      <w:jc w:val="right"/>
      <w:rPr>
        <w:rFonts w:ascii="Times New Roman" w:hAnsi="Times New Roman"/>
      </w:rPr>
    </w:pPr>
  </w:p>
  <w:p w:rsidR="00BC533D" w:rsidRDefault="00BC533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4C" w:rsidRDefault="0099024C" w:rsidP="00DB06C7">
      <w:pPr>
        <w:spacing w:after="0" w:line="240" w:lineRule="auto"/>
      </w:pPr>
      <w:r>
        <w:separator/>
      </w:r>
    </w:p>
  </w:footnote>
  <w:footnote w:type="continuationSeparator" w:id="0">
    <w:p w:rsidR="0099024C" w:rsidRDefault="0099024C" w:rsidP="00DB06C7">
      <w:pPr>
        <w:spacing w:after="0" w:line="240" w:lineRule="auto"/>
      </w:pPr>
      <w:r>
        <w:continuationSeparator/>
      </w:r>
    </w:p>
  </w:footnote>
  <w:footnote w:id="1">
    <w:p w:rsidR="00BC533D" w:rsidRPr="002C3AD3" w:rsidRDefault="00BC533D">
      <w:pPr>
        <w:pStyle w:val="FootnoteText"/>
        <w:rPr>
          <w:rFonts w:ascii="Times New Roman" w:hAnsi="Times New Roman"/>
        </w:rPr>
      </w:pPr>
      <w:r w:rsidRPr="002C3AD3">
        <w:rPr>
          <w:rStyle w:val="FootnoteReference"/>
          <w:rFonts w:ascii="Times New Roman" w:hAnsi="Times New Roman"/>
        </w:rPr>
        <w:t>i</w:t>
      </w:r>
      <w:r w:rsidRPr="002C3AD3">
        <w:rPr>
          <w:rFonts w:ascii="Times New Roman" w:hAnsi="Times New Roman"/>
        </w:rPr>
        <w:t xml:space="preserve"> Energy intensity is the ratio of the state’s energy consumption to its Gross State Product (GSP).</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3D" w:rsidRPr="00AD08C4" w:rsidRDefault="00BC533D" w:rsidP="00AD08C4">
    <w:pPr>
      <w:pStyle w:val="Header"/>
      <w:jc w:val="center"/>
      <w:rPr>
        <w:b/>
        <w:color w:val="FF0000"/>
        <w:sz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42C58"/>
    <w:multiLevelType w:val="hybridMultilevel"/>
    <w:tmpl w:val="195C3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D22960"/>
    <w:rsid w:val="00000652"/>
    <w:rsid w:val="000025B5"/>
    <w:rsid w:val="00003266"/>
    <w:rsid w:val="00007C47"/>
    <w:rsid w:val="00007DA9"/>
    <w:rsid w:val="00014D1A"/>
    <w:rsid w:val="00034571"/>
    <w:rsid w:val="00043B3E"/>
    <w:rsid w:val="00044425"/>
    <w:rsid w:val="000450D2"/>
    <w:rsid w:val="00046BC7"/>
    <w:rsid w:val="00047D7C"/>
    <w:rsid w:val="00063976"/>
    <w:rsid w:val="00066409"/>
    <w:rsid w:val="000719B8"/>
    <w:rsid w:val="000808A7"/>
    <w:rsid w:val="00081538"/>
    <w:rsid w:val="00081F6A"/>
    <w:rsid w:val="000841CB"/>
    <w:rsid w:val="00086071"/>
    <w:rsid w:val="000873BF"/>
    <w:rsid w:val="000905DE"/>
    <w:rsid w:val="000946E9"/>
    <w:rsid w:val="00094CFF"/>
    <w:rsid w:val="000A3934"/>
    <w:rsid w:val="000B6204"/>
    <w:rsid w:val="000C3979"/>
    <w:rsid w:val="000C3BE0"/>
    <w:rsid w:val="000C53F1"/>
    <w:rsid w:val="000E2A43"/>
    <w:rsid w:val="000E40A6"/>
    <w:rsid w:val="000F01E2"/>
    <w:rsid w:val="000F2092"/>
    <w:rsid w:val="000F3AD2"/>
    <w:rsid w:val="000F552B"/>
    <w:rsid w:val="000F5DB4"/>
    <w:rsid w:val="000F62A9"/>
    <w:rsid w:val="00104124"/>
    <w:rsid w:val="001119CF"/>
    <w:rsid w:val="00140DDA"/>
    <w:rsid w:val="00142969"/>
    <w:rsid w:val="00146856"/>
    <w:rsid w:val="00156A0C"/>
    <w:rsid w:val="001572D1"/>
    <w:rsid w:val="001621AE"/>
    <w:rsid w:val="00167461"/>
    <w:rsid w:val="00167D9E"/>
    <w:rsid w:val="00170795"/>
    <w:rsid w:val="00183B63"/>
    <w:rsid w:val="00187159"/>
    <w:rsid w:val="00187450"/>
    <w:rsid w:val="00191C74"/>
    <w:rsid w:val="00193E6B"/>
    <w:rsid w:val="00196F7E"/>
    <w:rsid w:val="001A031A"/>
    <w:rsid w:val="001B087F"/>
    <w:rsid w:val="001B210E"/>
    <w:rsid w:val="001B6902"/>
    <w:rsid w:val="001B6B4F"/>
    <w:rsid w:val="001C5A5F"/>
    <w:rsid w:val="001C5DB3"/>
    <w:rsid w:val="001C7E3D"/>
    <w:rsid w:val="001D02EB"/>
    <w:rsid w:val="001E5737"/>
    <w:rsid w:val="001F4B1A"/>
    <w:rsid w:val="00215695"/>
    <w:rsid w:val="00222683"/>
    <w:rsid w:val="00222F94"/>
    <w:rsid w:val="002236BA"/>
    <w:rsid w:val="0022370A"/>
    <w:rsid w:val="00227A57"/>
    <w:rsid w:val="00242362"/>
    <w:rsid w:val="00256A6B"/>
    <w:rsid w:val="00267DEA"/>
    <w:rsid w:val="00283285"/>
    <w:rsid w:val="002A061D"/>
    <w:rsid w:val="002A50A7"/>
    <w:rsid w:val="002B535D"/>
    <w:rsid w:val="002B7F75"/>
    <w:rsid w:val="002C3AD3"/>
    <w:rsid w:val="002D3F94"/>
    <w:rsid w:val="002E13A2"/>
    <w:rsid w:val="002E1489"/>
    <w:rsid w:val="002E2843"/>
    <w:rsid w:val="002F4A4E"/>
    <w:rsid w:val="002F5D79"/>
    <w:rsid w:val="002F6BB7"/>
    <w:rsid w:val="002F6D70"/>
    <w:rsid w:val="00302C28"/>
    <w:rsid w:val="00304FEB"/>
    <w:rsid w:val="003259CD"/>
    <w:rsid w:val="00343372"/>
    <w:rsid w:val="003440B8"/>
    <w:rsid w:val="003627D7"/>
    <w:rsid w:val="003669E8"/>
    <w:rsid w:val="00366C4E"/>
    <w:rsid w:val="00375DD6"/>
    <w:rsid w:val="00377850"/>
    <w:rsid w:val="003821F9"/>
    <w:rsid w:val="00382C26"/>
    <w:rsid w:val="00383650"/>
    <w:rsid w:val="00386796"/>
    <w:rsid w:val="00386A72"/>
    <w:rsid w:val="00386BBE"/>
    <w:rsid w:val="003913D8"/>
    <w:rsid w:val="00396DCF"/>
    <w:rsid w:val="003A4DDD"/>
    <w:rsid w:val="003A68E0"/>
    <w:rsid w:val="003C7FEB"/>
    <w:rsid w:val="003D335C"/>
    <w:rsid w:val="003F041D"/>
    <w:rsid w:val="003F47D8"/>
    <w:rsid w:val="003F4918"/>
    <w:rsid w:val="003F54A7"/>
    <w:rsid w:val="00416025"/>
    <w:rsid w:val="00417808"/>
    <w:rsid w:val="0042183A"/>
    <w:rsid w:val="00437F1E"/>
    <w:rsid w:val="00441300"/>
    <w:rsid w:val="004433E6"/>
    <w:rsid w:val="00447D22"/>
    <w:rsid w:val="0045024C"/>
    <w:rsid w:val="004503E3"/>
    <w:rsid w:val="0045169D"/>
    <w:rsid w:val="00452B73"/>
    <w:rsid w:val="004536BA"/>
    <w:rsid w:val="00454236"/>
    <w:rsid w:val="00456190"/>
    <w:rsid w:val="00457C91"/>
    <w:rsid w:val="00460EF8"/>
    <w:rsid w:val="004719AB"/>
    <w:rsid w:val="004731D3"/>
    <w:rsid w:val="00484300"/>
    <w:rsid w:val="00484E2C"/>
    <w:rsid w:val="00487162"/>
    <w:rsid w:val="00494268"/>
    <w:rsid w:val="00495B41"/>
    <w:rsid w:val="004975E6"/>
    <w:rsid w:val="004A0AB6"/>
    <w:rsid w:val="004A4B52"/>
    <w:rsid w:val="004A4F5E"/>
    <w:rsid w:val="004B031B"/>
    <w:rsid w:val="004C7D1A"/>
    <w:rsid w:val="004E07B6"/>
    <w:rsid w:val="004E3C2B"/>
    <w:rsid w:val="004F08D2"/>
    <w:rsid w:val="004F0A2B"/>
    <w:rsid w:val="004F298B"/>
    <w:rsid w:val="004F6D15"/>
    <w:rsid w:val="00501F61"/>
    <w:rsid w:val="005021AE"/>
    <w:rsid w:val="00523836"/>
    <w:rsid w:val="00524112"/>
    <w:rsid w:val="00526308"/>
    <w:rsid w:val="00544F2D"/>
    <w:rsid w:val="005554F2"/>
    <w:rsid w:val="00556E52"/>
    <w:rsid w:val="00557655"/>
    <w:rsid w:val="00560302"/>
    <w:rsid w:val="0056169B"/>
    <w:rsid w:val="005645FC"/>
    <w:rsid w:val="005646C4"/>
    <w:rsid w:val="00581FD0"/>
    <w:rsid w:val="00587887"/>
    <w:rsid w:val="005907AE"/>
    <w:rsid w:val="005A09CE"/>
    <w:rsid w:val="005A65D4"/>
    <w:rsid w:val="005B4D3B"/>
    <w:rsid w:val="005D29BC"/>
    <w:rsid w:val="005D7474"/>
    <w:rsid w:val="005E03A8"/>
    <w:rsid w:val="005E1B55"/>
    <w:rsid w:val="005F00CC"/>
    <w:rsid w:val="00600549"/>
    <w:rsid w:val="00600A0F"/>
    <w:rsid w:val="00602523"/>
    <w:rsid w:val="006041AE"/>
    <w:rsid w:val="006119BA"/>
    <w:rsid w:val="006149C1"/>
    <w:rsid w:val="00616042"/>
    <w:rsid w:val="0062479C"/>
    <w:rsid w:val="0063321F"/>
    <w:rsid w:val="00633CCF"/>
    <w:rsid w:val="006350C8"/>
    <w:rsid w:val="00636CA6"/>
    <w:rsid w:val="00640FE0"/>
    <w:rsid w:val="006410A6"/>
    <w:rsid w:val="006433B7"/>
    <w:rsid w:val="00651EE7"/>
    <w:rsid w:val="006643E7"/>
    <w:rsid w:val="00670A53"/>
    <w:rsid w:val="00674040"/>
    <w:rsid w:val="0067571C"/>
    <w:rsid w:val="00687B3F"/>
    <w:rsid w:val="006A3429"/>
    <w:rsid w:val="006A73E6"/>
    <w:rsid w:val="006B0640"/>
    <w:rsid w:val="006B3B69"/>
    <w:rsid w:val="006B68ED"/>
    <w:rsid w:val="006C53A1"/>
    <w:rsid w:val="006C753D"/>
    <w:rsid w:val="006F37B8"/>
    <w:rsid w:val="007046CE"/>
    <w:rsid w:val="007054AC"/>
    <w:rsid w:val="00710621"/>
    <w:rsid w:val="007257EF"/>
    <w:rsid w:val="007270A3"/>
    <w:rsid w:val="00727831"/>
    <w:rsid w:val="00727BBB"/>
    <w:rsid w:val="007331E9"/>
    <w:rsid w:val="007354FD"/>
    <w:rsid w:val="007376CC"/>
    <w:rsid w:val="00743FB8"/>
    <w:rsid w:val="00761A5B"/>
    <w:rsid w:val="00761E99"/>
    <w:rsid w:val="007711A1"/>
    <w:rsid w:val="00776373"/>
    <w:rsid w:val="007913F1"/>
    <w:rsid w:val="007949DF"/>
    <w:rsid w:val="00794C89"/>
    <w:rsid w:val="00795A05"/>
    <w:rsid w:val="007A24CF"/>
    <w:rsid w:val="007B591C"/>
    <w:rsid w:val="007B755C"/>
    <w:rsid w:val="007C0765"/>
    <w:rsid w:val="007C2398"/>
    <w:rsid w:val="007D0392"/>
    <w:rsid w:val="007D0469"/>
    <w:rsid w:val="007D44EF"/>
    <w:rsid w:val="007D5F34"/>
    <w:rsid w:val="007E330F"/>
    <w:rsid w:val="007E400C"/>
    <w:rsid w:val="007E75A4"/>
    <w:rsid w:val="007E79CB"/>
    <w:rsid w:val="007F24D4"/>
    <w:rsid w:val="007F6E77"/>
    <w:rsid w:val="008023A2"/>
    <w:rsid w:val="00805019"/>
    <w:rsid w:val="008106BE"/>
    <w:rsid w:val="00810E9F"/>
    <w:rsid w:val="008136A5"/>
    <w:rsid w:val="008203BE"/>
    <w:rsid w:val="008300A6"/>
    <w:rsid w:val="008341D3"/>
    <w:rsid w:val="00836F9F"/>
    <w:rsid w:val="008449E1"/>
    <w:rsid w:val="00844FB4"/>
    <w:rsid w:val="008557F6"/>
    <w:rsid w:val="008559EF"/>
    <w:rsid w:val="00877A17"/>
    <w:rsid w:val="008811F5"/>
    <w:rsid w:val="00891E17"/>
    <w:rsid w:val="008A4546"/>
    <w:rsid w:val="008B0FC7"/>
    <w:rsid w:val="008C15BD"/>
    <w:rsid w:val="008C1DEE"/>
    <w:rsid w:val="008C3135"/>
    <w:rsid w:val="008D1057"/>
    <w:rsid w:val="008D52B5"/>
    <w:rsid w:val="008D7A1A"/>
    <w:rsid w:val="008E029E"/>
    <w:rsid w:val="008E0DDC"/>
    <w:rsid w:val="008E0E5A"/>
    <w:rsid w:val="008E285C"/>
    <w:rsid w:val="008E2F95"/>
    <w:rsid w:val="008E5DF9"/>
    <w:rsid w:val="00904FBF"/>
    <w:rsid w:val="00912840"/>
    <w:rsid w:val="0091368B"/>
    <w:rsid w:val="00915EB2"/>
    <w:rsid w:val="009249FB"/>
    <w:rsid w:val="00947509"/>
    <w:rsid w:val="00947C1A"/>
    <w:rsid w:val="00951FA6"/>
    <w:rsid w:val="00965063"/>
    <w:rsid w:val="009656E3"/>
    <w:rsid w:val="0098516F"/>
    <w:rsid w:val="0099024C"/>
    <w:rsid w:val="00995D46"/>
    <w:rsid w:val="009A43EC"/>
    <w:rsid w:val="009A72BC"/>
    <w:rsid w:val="009B25C6"/>
    <w:rsid w:val="009C027D"/>
    <w:rsid w:val="009C099A"/>
    <w:rsid w:val="009C1EB3"/>
    <w:rsid w:val="009C2A41"/>
    <w:rsid w:val="009D4DB1"/>
    <w:rsid w:val="009D7708"/>
    <w:rsid w:val="009E1EE5"/>
    <w:rsid w:val="009E6A2F"/>
    <w:rsid w:val="009F0676"/>
    <w:rsid w:val="009F4EB7"/>
    <w:rsid w:val="009F5B59"/>
    <w:rsid w:val="00A01E2B"/>
    <w:rsid w:val="00A16463"/>
    <w:rsid w:val="00A17DDA"/>
    <w:rsid w:val="00A31964"/>
    <w:rsid w:val="00A35B75"/>
    <w:rsid w:val="00A368FD"/>
    <w:rsid w:val="00A408F5"/>
    <w:rsid w:val="00A50C8E"/>
    <w:rsid w:val="00A52DA7"/>
    <w:rsid w:val="00A53230"/>
    <w:rsid w:val="00A56D31"/>
    <w:rsid w:val="00A65FD5"/>
    <w:rsid w:val="00A71188"/>
    <w:rsid w:val="00A81964"/>
    <w:rsid w:val="00AA2E76"/>
    <w:rsid w:val="00AA604B"/>
    <w:rsid w:val="00AB0AAD"/>
    <w:rsid w:val="00AC52A5"/>
    <w:rsid w:val="00AD08C4"/>
    <w:rsid w:val="00AD7C35"/>
    <w:rsid w:val="00AE4785"/>
    <w:rsid w:val="00AF0B92"/>
    <w:rsid w:val="00AF7763"/>
    <w:rsid w:val="00B056DC"/>
    <w:rsid w:val="00B36E1A"/>
    <w:rsid w:val="00B66AAA"/>
    <w:rsid w:val="00B71D6C"/>
    <w:rsid w:val="00B71DD2"/>
    <w:rsid w:val="00B7259B"/>
    <w:rsid w:val="00B72ACF"/>
    <w:rsid w:val="00B730D8"/>
    <w:rsid w:val="00B75C14"/>
    <w:rsid w:val="00B84666"/>
    <w:rsid w:val="00B85B71"/>
    <w:rsid w:val="00B91387"/>
    <w:rsid w:val="00B940DC"/>
    <w:rsid w:val="00B944F5"/>
    <w:rsid w:val="00B95FCF"/>
    <w:rsid w:val="00B96F77"/>
    <w:rsid w:val="00BA6883"/>
    <w:rsid w:val="00BB3C25"/>
    <w:rsid w:val="00BC2685"/>
    <w:rsid w:val="00BC41AA"/>
    <w:rsid w:val="00BC533D"/>
    <w:rsid w:val="00BD104D"/>
    <w:rsid w:val="00BD170C"/>
    <w:rsid w:val="00BD1CA7"/>
    <w:rsid w:val="00BE0B76"/>
    <w:rsid w:val="00BE3E4A"/>
    <w:rsid w:val="00BE66B8"/>
    <w:rsid w:val="00BF7591"/>
    <w:rsid w:val="00C007D1"/>
    <w:rsid w:val="00C10EBE"/>
    <w:rsid w:val="00C12F9F"/>
    <w:rsid w:val="00C15B0B"/>
    <w:rsid w:val="00C16FD0"/>
    <w:rsid w:val="00C2383A"/>
    <w:rsid w:val="00C260FA"/>
    <w:rsid w:val="00C361B1"/>
    <w:rsid w:val="00C42D0B"/>
    <w:rsid w:val="00C4361F"/>
    <w:rsid w:val="00C448E7"/>
    <w:rsid w:val="00C4501C"/>
    <w:rsid w:val="00C5404E"/>
    <w:rsid w:val="00C8041C"/>
    <w:rsid w:val="00C870DA"/>
    <w:rsid w:val="00C87980"/>
    <w:rsid w:val="00C94155"/>
    <w:rsid w:val="00C969CF"/>
    <w:rsid w:val="00C97F56"/>
    <w:rsid w:val="00CA1AA0"/>
    <w:rsid w:val="00CA4AB2"/>
    <w:rsid w:val="00CB09C8"/>
    <w:rsid w:val="00CB19AE"/>
    <w:rsid w:val="00CB56FE"/>
    <w:rsid w:val="00CC079E"/>
    <w:rsid w:val="00CC12B9"/>
    <w:rsid w:val="00CC3299"/>
    <w:rsid w:val="00CC72EC"/>
    <w:rsid w:val="00CD2963"/>
    <w:rsid w:val="00CD2B48"/>
    <w:rsid w:val="00CE1C0A"/>
    <w:rsid w:val="00CE724B"/>
    <w:rsid w:val="00CF65E1"/>
    <w:rsid w:val="00D02D0D"/>
    <w:rsid w:val="00D13DAE"/>
    <w:rsid w:val="00D156F9"/>
    <w:rsid w:val="00D209F5"/>
    <w:rsid w:val="00D22960"/>
    <w:rsid w:val="00D247AA"/>
    <w:rsid w:val="00D26648"/>
    <w:rsid w:val="00D44314"/>
    <w:rsid w:val="00D44BED"/>
    <w:rsid w:val="00D46B7E"/>
    <w:rsid w:val="00D521C3"/>
    <w:rsid w:val="00D541AC"/>
    <w:rsid w:val="00D607C5"/>
    <w:rsid w:val="00D6570F"/>
    <w:rsid w:val="00D66686"/>
    <w:rsid w:val="00D72235"/>
    <w:rsid w:val="00D76E50"/>
    <w:rsid w:val="00D80DD8"/>
    <w:rsid w:val="00D821F3"/>
    <w:rsid w:val="00D84B91"/>
    <w:rsid w:val="00D86435"/>
    <w:rsid w:val="00D929BA"/>
    <w:rsid w:val="00DA353C"/>
    <w:rsid w:val="00DB06C7"/>
    <w:rsid w:val="00DB07AE"/>
    <w:rsid w:val="00DB2407"/>
    <w:rsid w:val="00DB71C6"/>
    <w:rsid w:val="00DC3987"/>
    <w:rsid w:val="00DC39B5"/>
    <w:rsid w:val="00E0462E"/>
    <w:rsid w:val="00E06DCA"/>
    <w:rsid w:val="00E16737"/>
    <w:rsid w:val="00E20987"/>
    <w:rsid w:val="00E32B2E"/>
    <w:rsid w:val="00E417C6"/>
    <w:rsid w:val="00E4249F"/>
    <w:rsid w:val="00E43B99"/>
    <w:rsid w:val="00E46695"/>
    <w:rsid w:val="00E4758F"/>
    <w:rsid w:val="00E50C50"/>
    <w:rsid w:val="00E50E38"/>
    <w:rsid w:val="00E53B4E"/>
    <w:rsid w:val="00E56F9C"/>
    <w:rsid w:val="00E639B8"/>
    <w:rsid w:val="00E646CD"/>
    <w:rsid w:val="00E66903"/>
    <w:rsid w:val="00E718BC"/>
    <w:rsid w:val="00E77C24"/>
    <w:rsid w:val="00E8326B"/>
    <w:rsid w:val="00E83FE4"/>
    <w:rsid w:val="00E87B43"/>
    <w:rsid w:val="00E9152F"/>
    <w:rsid w:val="00E974F3"/>
    <w:rsid w:val="00EA0E40"/>
    <w:rsid w:val="00EA579B"/>
    <w:rsid w:val="00EA755A"/>
    <w:rsid w:val="00EB41AD"/>
    <w:rsid w:val="00EC77F2"/>
    <w:rsid w:val="00F02E75"/>
    <w:rsid w:val="00F034F8"/>
    <w:rsid w:val="00F1650D"/>
    <w:rsid w:val="00F22ABE"/>
    <w:rsid w:val="00F27428"/>
    <w:rsid w:val="00F5224B"/>
    <w:rsid w:val="00F557E5"/>
    <w:rsid w:val="00F55866"/>
    <w:rsid w:val="00F74EFA"/>
    <w:rsid w:val="00F87C40"/>
    <w:rsid w:val="00F928FF"/>
    <w:rsid w:val="00F94448"/>
    <w:rsid w:val="00F945FC"/>
    <w:rsid w:val="00FA3B5B"/>
    <w:rsid w:val="00FB1B94"/>
    <w:rsid w:val="00FB21B9"/>
    <w:rsid w:val="00FB4490"/>
    <w:rsid w:val="00FC41FA"/>
    <w:rsid w:val="00FD1AA1"/>
    <w:rsid w:val="00FE4DDE"/>
    <w:rsid w:val="00FF27C5"/>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4"/>
        <w:szCs w:val="24"/>
        <w:lang w:val="en-US" w:eastAsia="zh-CN" w:bidi="ar-SA"/>
      </w:rPr>
    </w:rPrDefault>
    <w:pPrDefault/>
  </w:docDefaults>
  <w:latentStyles w:defLockedState="0" w:defUIPriority="0" w:defSemiHidden="0" w:defUnhideWhenUsed="0" w:defQFormat="0" w:count="276">
    <w:lsdException w:name="heading 1" w:uiPriority="9" w:qFormat="1"/>
    <w:lsdException w:name="toc 1" w:uiPriority="39" w:qFormat="1"/>
    <w:lsdException w:name="footer" w:uiPriority="99"/>
    <w:lsdException w:name="footnote reference" w:uiPriority="99"/>
    <w:lsdException w:name="endnote reference" w:uiPriority="99"/>
    <w:lsdException w:name="endnote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D2"/>
    <w:pPr>
      <w:spacing w:after="200" w:line="276" w:lineRule="auto"/>
    </w:pPr>
    <w:rPr>
      <w:sz w:val="22"/>
      <w:szCs w:val="22"/>
    </w:rPr>
  </w:style>
  <w:style w:type="paragraph" w:styleId="Heading1">
    <w:name w:val="heading 1"/>
    <w:basedOn w:val="Normal"/>
    <w:link w:val="Heading1Char"/>
    <w:uiPriority w:val="9"/>
    <w:qFormat/>
    <w:rsid w:val="000F209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BalloonTextChar0">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2">
    <w:name w:val="Balloon Text Char"/>
    <w:basedOn w:val="DefaultParagraphFont"/>
    <w:link w:val="BalloonText"/>
    <w:uiPriority w:val="99"/>
    <w:semiHidden/>
    <w:rsid w:val="00FB2AB0"/>
    <w:rPr>
      <w:rFonts w:ascii="Lucida Grande" w:hAnsi="Lucida Grande"/>
      <w:sz w:val="18"/>
      <w:szCs w:val="18"/>
    </w:rPr>
  </w:style>
  <w:style w:type="character" w:customStyle="1" w:styleId="BalloonTextChar3">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4">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5">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6">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7">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8">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9">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a">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B06C7"/>
    <w:pPr>
      <w:tabs>
        <w:tab w:val="center" w:pos="4680"/>
        <w:tab w:val="right" w:pos="9360"/>
      </w:tabs>
    </w:pPr>
  </w:style>
  <w:style w:type="character" w:customStyle="1" w:styleId="HeaderChar">
    <w:name w:val="Header Char"/>
    <w:basedOn w:val="DefaultParagraphFont"/>
    <w:link w:val="Header"/>
    <w:uiPriority w:val="99"/>
    <w:semiHidden/>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unhideWhenUsed/>
    <w:rsid w:val="00D46B7E"/>
    <w:rPr>
      <w:sz w:val="20"/>
      <w:szCs w:val="20"/>
    </w:rPr>
  </w:style>
  <w:style w:type="character" w:customStyle="1" w:styleId="EndnoteTextChar">
    <w:name w:val="Endnote Text Char"/>
    <w:basedOn w:val="DefaultParagraphFont"/>
    <w:link w:val="EndnoteText"/>
    <w:uiPriority w:val="99"/>
    <w:rsid w:val="00D46B7E"/>
  </w:style>
  <w:style w:type="character" w:styleId="EndnoteReference">
    <w:name w:val="endnote reference"/>
    <w:basedOn w:val="DefaultParagraphFont"/>
    <w:uiPriority w:val="99"/>
    <w:semiHidden/>
    <w:unhideWhenUsed/>
    <w:rsid w:val="00D46B7E"/>
    <w:rPr>
      <w:vertAlign w:val="superscript"/>
    </w:rPr>
  </w:style>
  <w:style w:type="paragraph" w:styleId="FootnoteText">
    <w:name w:val="footnote text"/>
    <w:basedOn w:val="Normal"/>
    <w:link w:val="FootnoteTextChar"/>
    <w:unhideWhenUsed/>
    <w:rsid w:val="00D521C3"/>
    <w:pPr>
      <w:spacing w:after="0" w:line="240" w:lineRule="auto"/>
    </w:pPr>
    <w:rPr>
      <w:sz w:val="20"/>
      <w:szCs w:val="20"/>
    </w:rPr>
  </w:style>
  <w:style w:type="character" w:customStyle="1" w:styleId="FootnoteTextChar">
    <w:name w:val="Footnote Text Char"/>
    <w:basedOn w:val="DefaultParagraphFont"/>
    <w:link w:val="FootnoteText"/>
    <w:uiPriority w:val="99"/>
    <w:rsid w:val="00D521C3"/>
  </w:style>
  <w:style w:type="character" w:styleId="FootnoteReference">
    <w:name w:val="footnote reference"/>
    <w:basedOn w:val="DefaultParagraphFont"/>
    <w:uiPriority w:val="99"/>
    <w:semiHidden/>
    <w:unhideWhenUsed/>
    <w:rsid w:val="00D521C3"/>
    <w:rPr>
      <w:vertAlign w:val="superscript"/>
    </w:rPr>
  </w:style>
  <w:style w:type="paragraph" w:styleId="HTMLPreformatted">
    <w:name w:val="HTML Preformatted"/>
    <w:basedOn w:val="Normal"/>
    <w:link w:val="HTMLPreformattedChar"/>
    <w:uiPriority w:val="99"/>
    <w:unhideWhenUsed/>
    <w:rsid w:val="00C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A1AA0"/>
    <w:rPr>
      <w:rFonts w:ascii="Courier New" w:eastAsia="Times New Roman" w:hAnsi="Courier New" w:cs="Courier New"/>
      <w:lang w:eastAsia="en-US"/>
    </w:rPr>
  </w:style>
  <w:style w:type="paragraph" w:customStyle="1" w:styleId="Default">
    <w:name w:val="Default"/>
    <w:rsid w:val="00DC39B5"/>
    <w:pPr>
      <w:autoSpaceDE w:val="0"/>
      <w:autoSpaceDN w:val="0"/>
      <w:adjustRightInd w:val="0"/>
    </w:pPr>
    <w:rPr>
      <w:rFonts w:ascii="Times New Roman" w:hAnsi="Times New Roman"/>
      <w:color w:val="000000"/>
    </w:rPr>
  </w:style>
  <w:style w:type="character" w:styleId="CommentReference">
    <w:name w:val="annotation reference"/>
    <w:basedOn w:val="DefaultParagraphFont"/>
    <w:uiPriority w:val="99"/>
    <w:semiHidden/>
    <w:unhideWhenUsed/>
    <w:rsid w:val="00AF7763"/>
    <w:rPr>
      <w:sz w:val="16"/>
      <w:szCs w:val="16"/>
    </w:rPr>
  </w:style>
  <w:style w:type="paragraph" w:styleId="CommentText">
    <w:name w:val="annotation text"/>
    <w:basedOn w:val="Normal"/>
    <w:link w:val="CommentTextChar"/>
    <w:uiPriority w:val="99"/>
    <w:semiHidden/>
    <w:unhideWhenUsed/>
    <w:rsid w:val="00AF7763"/>
    <w:pPr>
      <w:spacing w:line="240" w:lineRule="auto"/>
    </w:pPr>
    <w:rPr>
      <w:sz w:val="20"/>
      <w:szCs w:val="20"/>
    </w:rPr>
  </w:style>
  <w:style w:type="character" w:customStyle="1" w:styleId="CommentTextChar">
    <w:name w:val="Comment Text Char"/>
    <w:basedOn w:val="DefaultParagraphFont"/>
    <w:link w:val="CommentText"/>
    <w:uiPriority w:val="99"/>
    <w:semiHidden/>
    <w:rsid w:val="00AF7763"/>
  </w:style>
  <w:style w:type="paragraph" w:styleId="CommentSubject">
    <w:name w:val="annotation subject"/>
    <w:basedOn w:val="CommentText"/>
    <w:next w:val="CommentText"/>
    <w:link w:val="CommentSubjectChar"/>
    <w:uiPriority w:val="99"/>
    <w:semiHidden/>
    <w:unhideWhenUsed/>
    <w:rsid w:val="00AF7763"/>
    <w:rPr>
      <w:b/>
      <w:bCs/>
    </w:rPr>
  </w:style>
  <w:style w:type="character" w:customStyle="1" w:styleId="CommentSubjectChar">
    <w:name w:val="Comment Subject Char"/>
    <w:basedOn w:val="CommentTextChar"/>
    <w:link w:val="CommentSubject"/>
    <w:uiPriority w:val="99"/>
    <w:semiHidden/>
    <w:rsid w:val="00AF7763"/>
    <w:rPr>
      <w:b/>
      <w:bCs/>
    </w:rPr>
  </w:style>
  <w:style w:type="character" w:customStyle="1" w:styleId="Heading1Char">
    <w:name w:val="Heading 1 Char"/>
    <w:basedOn w:val="DefaultParagraphFont"/>
    <w:link w:val="Heading1"/>
    <w:uiPriority w:val="9"/>
    <w:rsid w:val="000F2092"/>
    <w:rPr>
      <w:rFonts w:ascii="Times New Roman" w:eastAsia="Times New Roman" w:hAnsi="Times New Roman"/>
      <w:b/>
      <w:bCs/>
      <w:kern w:val="36"/>
      <w:sz w:val="48"/>
      <w:szCs w:val="48"/>
    </w:rPr>
  </w:style>
  <w:style w:type="paragraph" w:styleId="ListParagraph">
    <w:name w:val="List Paragraph"/>
    <w:basedOn w:val="Normal"/>
    <w:uiPriority w:val="34"/>
    <w:qFormat/>
    <w:rsid w:val="00CC079E"/>
    <w:pPr>
      <w:ind w:left="720"/>
      <w:contextualSpacing/>
    </w:pPr>
  </w:style>
  <w:style w:type="character" w:styleId="Hyperlink">
    <w:name w:val="Hyperlink"/>
    <w:basedOn w:val="DefaultParagraphFont"/>
    <w:rsid w:val="00CC079E"/>
    <w:rPr>
      <w:color w:val="0000FF"/>
      <w:u w:val="single"/>
    </w:rPr>
  </w:style>
  <w:style w:type="paragraph" w:styleId="TOC1">
    <w:name w:val="toc 1"/>
    <w:basedOn w:val="Normal"/>
    <w:next w:val="Normal"/>
    <w:autoRedefine/>
    <w:uiPriority w:val="39"/>
    <w:unhideWhenUsed/>
    <w:qFormat/>
    <w:rsid w:val="00600A0F"/>
    <w:pPr>
      <w:spacing w:after="100" w:line="240" w:lineRule="auto"/>
    </w:pPr>
    <w:rPr>
      <w:rFonts w:ascii="Times New Roman" w:eastAsia="Times New Roman" w:hAnsi="Times New Roman"/>
      <w:sz w:val="24"/>
      <w:szCs w:val="24"/>
      <w:lang w:eastAsia="en-US"/>
    </w:rPr>
  </w:style>
  <w:style w:type="character" w:styleId="PageNumber">
    <w:name w:val="page number"/>
    <w:basedOn w:val="DefaultParagraphFont"/>
    <w:rsid w:val="00AD08C4"/>
  </w:style>
  <w:style w:type="character" w:customStyle="1" w:styleId="apple-style-span">
    <w:name w:val="apple-style-span"/>
    <w:basedOn w:val="DefaultParagraphFont"/>
    <w:rsid w:val="00066409"/>
  </w:style>
</w:styles>
</file>

<file path=word/webSettings.xml><?xml version="1.0" encoding="utf-8"?>
<w:webSettings xmlns:r="http://schemas.openxmlformats.org/officeDocument/2006/relationships" xmlns:w="http://schemas.openxmlformats.org/wordprocessingml/2006/main">
  <w:divs>
    <w:div w:id="51395400">
      <w:bodyDiv w:val="1"/>
      <w:marLeft w:val="0"/>
      <w:marRight w:val="0"/>
      <w:marTop w:val="0"/>
      <w:marBottom w:val="0"/>
      <w:divBdr>
        <w:top w:val="none" w:sz="0" w:space="0" w:color="auto"/>
        <w:left w:val="none" w:sz="0" w:space="0" w:color="auto"/>
        <w:bottom w:val="none" w:sz="0" w:space="0" w:color="auto"/>
        <w:right w:val="none" w:sz="0" w:space="0" w:color="auto"/>
      </w:divBdr>
    </w:div>
    <w:div w:id="213586488">
      <w:bodyDiv w:val="1"/>
      <w:marLeft w:val="0"/>
      <w:marRight w:val="0"/>
      <w:marTop w:val="0"/>
      <w:marBottom w:val="0"/>
      <w:divBdr>
        <w:top w:val="none" w:sz="0" w:space="0" w:color="auto"/>
        <w:left w:val="none" w:sz="0" w:space="0" w:color="auto"/>
        <w:bottom w:val="none" w:sz="0" w:space="0" w:color="auto"/>
        <w:right w:val="none" w:sz="0" w:space="0" w:color="auto"/>
      </w:divBdr>
    </w:div>
    <w:div w:id="377894718">
      <w:bodyDiv w:val="1"/>
      <w:marLeft w:val="0"/>
      <w:marRight w:val="0"/>
      <w:marTop w:val="0"/>
      <w:marBottom w:val="0"/>
      <w:divBdr>
        <w:top w:val="none" w:sz="0" w:space="0" w:color="auto"/>
        <w:left w:val="none" w:sz="0" w:space="0" w:color="auto"/>
        <w:bottom w:val="none" w:sz="0" w:space="0" w:color="auto"/>
        <w:right w:val="none" w:sz="0" w:space="0" w:color="auto"/>
      </w:divBdr>
    </w:div>
    <w:div w:id="944926003">
      <w:bodyDiv w:val="1"/>
      <w:marLeft w:val="0"/>
      <w:marRight w:val="0"/>
      <w:marTop w:val="0"/>
      <w:marBottom w:val="0"/>
      <w:divBdr>
        <w:top w:val="none" w:sz="0" w:space="0" w:color="auto"/>
        <w:left w:val="none" w:sz="0" w:space="0" w:color="auto"/>
        <w:bottom w:val="none" w:sz="0" w:space="0" w:color="auto"/>
        <w:right w:val="none" w:sz="0" w:space="0" w:color="auto"/>
      </w:divBdr>
    </w:div>
    <w:div w:id="1375884127">
      <w:bodyDiv w:val="1"/>
      <w:marLeft w:val="0"/>
      <w:marRight w:val="0"/>
      <w:marTop w:val="0"/>
      <w:marBottom w:val="0"/>
      <w:divBdr>
        <w:top w:val="none" w:sz="0" w:space="0" w:color="auto"/>
        <w:left w:val="none" w:sz="0" w:space="0" w:color="auto"/>
        <w:bottom w:val="none" w:sz="0" w:space="0" w:color="auto"/>
        <w:right w:val="none" w:sz="0" w:space="0" w:color="auto"/>
      </w:divBdr>
    </w:div>
    <w:div w:id="1469740079">
      <w:bodyDiv w:val="1"/>
      <w:marLeft w:val="0"/>
      <w:marRight w:val="0"/>
      <w:marTop w:val="0"/>
      <w:marBottom w:val="0"/>
      <w:divBdr>
        <w:top w:val="none" w:sz="0" w:space="0" w:color="auto"/>
        <w:left w:val="none" w:sz="0" w:space="0" w:color="auto"/>
        <w:bottom w:val="none" w:sz="0" w:space="0" w:color="auto"/>
        <w:right w:val="none" w:sz="0" w:space="0" w:color="auto"/>
      </w:divBdr>
      <w:divsChild>
        <w:div w:id="743182638">
          <w:marLeft w:val="0"/>
          <w:marRight w:val="0"/>
          <w:marTop w:val="0"/>
          <w:marBottom w:val="0"/>
          <w:divBdr>
            <w:top w:val="none" w:sz="0" w:space="0" w:color="auto"/>
            <w:left w:val="none" w:sz="0" w:space="0" w:color="auto"/>
            <w:bottom w:val="none" w:sz="0" w:space="0" w:color="auto"/>
            <w:right w:val="none" w:sz="0" w:space="0" w:color="auto"/>
          </w:divBdr>
        </w:div>
        <w:div w:id="554777907">
          <w:marLeft w:val="0"/>
          <w:marRight w:val="0"/>
          <w:marTop w:val="0"/>
          <w:marBottom w:val="0"/>
          <w:divBdr>
            <w:top w:val="none" w:sz="0" w:space="0" w:color="auto"/>
            <w:left w:val="none" w:sz="0" w:space="0" w:color="auto"/>
            <w:bottom w:val="none" w:sz="0" w:space="0" w:color="auto"/>
            <w:right w:val="none" w:sz="0" w:space="0" w:color="auto"/>
          </w:divBdr>
        </w:div>
        <w:div w:id="1831217346">
          <w:marLeft w:val="0"/>
          <w:marRight w:val="0"/>
          <w:marTop w:val="0"/>
          <w:marBottom w:val="0"/>
          <w:divBdr>
            <w:top w:val="none" w:sz="0" w:space="0" w:color="auto"/>
            <w:left w:val="none" w:sz="0" w:space="0" w:color="auto"/>
            <w:bottom w:val="none" w:sz="0" w:space="0" w:color="auto"/>
            <w:right w:val="none" w:sz="0" w:space="0" w:color="auto"/>
          </w:divBdr>
        </w:div>
        <w:div w:id="858352704">
          <w:marLeft w:val="0"/>
          <w:marRight w:val="0"/>
          <w:marTop w:val="0"/>
          <w:marBottom w:val="0"/>
          <w:divBdr>
            <w:top w:val="none" w:sz="0" w:space="0" w:color="auto"/>
            <w:left w:val="none" w:sz="0" w:space="0" w:color="auto"/>
            <w:bottom w:val="none" w:sz="0" w:space="0" w:color="auto"/>
            <w:right w:val="none" w:sz="0" w:space="0" w:color="auto"/>
          </w:divBdr>
        </w:div>
        <w:div w:id="2099909859">
          <w:marLeft w:val="0"/>
          <w:marRight w:val="0"/>
          <w:marTop w:val="0"/>
          <w:marBottom w:val="0"/>
          <w:divBdr>
            <w:top w:val="none" w:sz="0" w:space="0" w:color="auto"/>
            <w:left w:val="none" w:sz="0" w:space="0" w:color="auto"/>
            <w:bottom w:val="none" w:sz="0" w:space="0" w:color="auto"/>
            <w:right w:val="none" w:sz="0" w:space="0" w:color="auto"/>
          </w:divBdr>
        </w:div>
        <w:div w:id="1232350377">
          <w:marLeft w:val="0"/>
          <w:marRight w:val="0"/>
          <w:marTop w:val="0"/>
          <w:marBottom w:val="0"/>
          <w:divBdr>
            <w:top w:val="none" w:sz="0" w:space="0" w:color="auto"/>
            <w:left w:val="none" w:sz="0" w:space="0" w:color="auto"/>
            <w:bottom w:val="none" w:sz="0" w:space="0" w:color="auto"/>
            <w:right w:val="none" w:sz="0" w:space="0" w:color="auto"/>
          </w:divBdr>
        </w:div>
        <w:div w:id="1652556587">
          <w:marLeft w:val="0"/>
          <w:marRight w:val="0"/>
          <w:marTop w:val="0"/>
          <w:marBottom w:val="0"/>
          <w:divBdr>
            <w:top w:val="none" w:sz="0" w:space="0" w:color="auto"/>
            <w:left w:val="none" w:sz="0" w:space="0" w:color="auto"/>
            <w:bottom w:val="none" w:sz="0" w:space="0" w:color="auto"/>
            <w:right w:val="none" w:sz="0" w:space="0" w:color="auto"/>
          </w:divBdr>
        </w:div>
        <w:div w:id="511526560">
          <w:marLeft w:val="0"/>
          <w:marRight w:val="0"/>
          <w:marTop w:val="0"/>
          <w:marBottom w:val="0"/>
          <w:divBdr>
            <w:top w:val="none" w:sz="0" w:space="0" w:color="auto"/>
            <w:left w:val="none" w:sz="0" w:space="0" w:color="auto"/>
            <w:bottom w:val="none" w:sz="0" w:space="0" w:color="auto"/>
            <w:right w:val="none" w:sz="0" w:space="0" w:color="auto"/>
          </w:divBdr>
        </w:div>
        <w:div w:id="247230774">
          <w:marLeft w:val="0"/>
          <w:marRight w:val="0"/>
          <w:marTop w:val="0"/>
          <w:marBottom w:val="0"/>
          <w:divBdr>
            <w:top w:val="none" w:sz="0" w:space="0" w:color="auto"/>
            <w:left w:val="none" w:sz="0" w:space="0" w:color="auto"/>
            <w:bottom w:val="none" w:sz="0" w:space="0" w:color="auto"/>
            <w:right w:val="none" w:sz="0" w:space="0" w:color="auto"/>
          </w:divBdr>
        </w:div>
      </w:divsChild>
    </w:div>
    <w:div w:id="1920408303">
      <w:bodyDiv w:val="1"/>
      <w:marLeft w:val="0"/>
      <w:marRight w:val="0"/>
      <w:marTop w:val="0"/>
      <w:marBottom w:val="0"/>
      <w:divBdr>
        <w:top w:val="none" w:sz="0" w:space="0" w:color="auto"/>
        <w:left w:val="none" w:sz="0" w:space="0" w:color="auto"/>
        <w:bottom w:val="none" w:sz="0" w:space="0" w:color="auto"/>
        <w:right w:val="none" w:sz="0" w:space="0" w:color="auto"/>
      </w:divBdr>
    </w:div>
    <w:div w:id="19835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chart" Target="charts/chart11.xml"/><Relationship Id="rId21" Type="http://schemas.openxmlformats.org/officeDocument/2006/relationships/hyperlink" Target="http://www.ef.org" TargetMode="External"/><Relationship Id="rId22" Type="http://schemas.openxmlformats.org/officeDocument/2006/relationships/hyperlink" Target="http://www.kresge.org" TargetMode="External"/><Relationship Id="rId23" Type="http://schemas.openxmlformats.org/officeDocument/2006/relationships/hyperlink" Target="http://www.turnerfoundation.org" TargetMode="External"/><Relationship Id="rId24" Type="http://schemas.openxmlformats.org/officeDocument/2006/relationships/hyperlink" Target="http://iopscience.iop.org/1748-9326/5/1/014017"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chart" Target="charts/chart10.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y\AppData\Local\Temp\State%20profile%20graphs%20022710-1.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3011852817766"/>
          <c:y val="0.0601851851851851"/>
          <c:w val="0.773534781082293"/>
          <c:h val="0.794120370370376"/>
        </c:manualLayout>
      </c:layout>
      <c:barChart>
        <c:barDir val="bar"/>
        <c:grouping val="clustered"/>
        <c:ser>
          <c:idx val="0"/>
          <c:order val="0"/>
          <c:cat>
            <c:strRef>
              <c:f>('historical by state 2'!$B$1,'historical by state 2'!$C$1,'historical by state 2'!$F$1)</c:f>
              <c:strCache>
                <c:ptCount val="3"/>
                <c:pt idx="0">
                  <c:v>United States 
101,600 TBtu</c:v>
                </c:pt>
                <c:pt idx="1">
                  <c:v>South Region 
43,650 TBtu</c:v>
                </c:pt>
                <c:pt idx="2">
                  <c:v>North Carolina 
2,700 TBtu</c:v>
                </c:pt>
              </c:strCache>
            </c:strRef>
          </c:cat>
          <c:val>
            <c:numRef>
              <c:f>('historical by state 2'!$B$7,'historical by state 2'!$C$7,'historical by state 2'!$F$7)</c:f>
              <c:numCache>
                <c:formatCode>#,##0.0</c:formatCode>
                <c:ptCount val="3"/>
                <c:pt idx="0" formatCode="#,##0">
                  <c:v>101600.066</c:v>
                </c:pt>
                <c:pt idx="1">
                  <c:v>43650.1</c:v>
                </c:pt>
                <c:pt idx="2" formatCode="General">
                  <c:v>2700.0</c:v>
                </c:pt>
              </c:numCache>
            </c:numRef>
          </c:val>
        </c:ser>
        <c:gapWidth val="75"/>
        <c:overlap val="-25"/>
        <c:axId val="669894808"/>
        <c:axId val="687154104"/>
      </c:barChart>
      <c:catAx>
        <c:axId val="669894808"/>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687154104"/>
        <c:crosses val="autoZero"/>
        <c:auto val="1"/>
        <c:lblAlgn val="ctr"/>
        <c:lblOffset val="100"/>
      </c:catAx>
      <c:valAx>
        <c:axId val="687154104"/>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69894808"/>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7569230769233"/>
          <c:y val="0.0497175141242945"/>
          <c:w val="0.709109469008686"/>
          <c:h val="0.742850206965239"/>
        </c:manualLayout>
      </c:layout>
      <c:lineChart>
        <c:grouping val="standard"/>
        <c:ser>
          <c:idx val="0"/>
          <c:order val="0"/>
          <c:tx>
            <c:strRef>
              <c:f>'SA STATES - Savings'!$C$993</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Savings'!$G$993:$AA$993</c:f>
              <c:numCache>
                <c:formatCode>General</c:formatCode>
                <c:ptCount val="21"/>
                <c:pt idx="0">
                  <c:v>652.2154316519155</c:v>
                </c:pt>
                <c:pt idx="1">
                  <c:v>670.4455813331875</c:v>
                </c:pt>
                <c:pt idx="2">
                  <c:v>687.8712827815929</c:v>
                </c:pt>
                <c:pt idx="3">
                  <c:v>701.516683596093</c:v>
                </c:pt>
                <c:pt idx="4">
                  <c:v>697.2949427902031</c:v>
                </c:pt>
                <c:pt idx="5">
                  <c:v>690.5574803257354</c:v>
                </c:pt>
                <c:pt idx="6">
                  <c:v>688.905137476411</c:v>
                </c:pt>
                <c:pt idx="7">
                  <c:v>692.3397506942024</c:v>
                </c:pt>
                <c:pt idx="8">
                  <c:v>696.9269507808174</c:v>
                </c:pt>
                <c:pt idx="9">
                  <c:v>706.059754608965</c:v>
                </c:pt>
                <c:pt idx="10">
                  <c:v>716.0957980359076</c:v>
                </c:pt>
                <c:pt idx="11">
                  <c:v>722.003402463058</c:v>
                </c:pt>
                <c:pt idx="12">
                  <c:v>731.8320990227631</c:v>
                </c:pt>
                <c:pt idx="13">
                  <c:v>737.5839632634586</c:v>
                </c:pt>
                <c:pt idx="14">
                  <c:v>739.3863414910932</c:v>
                </c:pt>
                <c:pt idx="15">
                  <c:v>744.7036154402751</c:v>
                </c:pt>
                <c:pt idx="16">
                  <c:v>742.7906475554298</c:v>
                </c:pt>
                <c:pt idx="17">
                  <c:v>737.286772967737</c:v>
                </c:pt>
                <c:pt idx="18">
                  <c:v>732.1566472934824</c:v>
                </c:pt>
                <c:pt idx="19">
                  <c:v>730.799416197927</c:v>
                </c:pt>
                <c:pt idx="20">
                  <c:v>733.9278478578694</c:v>
                </c:pt>
              </c:numCache>
            </c:numRef>
          </c:val>
        </c:ser>
        <c:ser>
          <c:idx val="1"/>
          <c:order val="1"/>
          <c:tx>
            <c:strRef>
              <c:f>'SA STATES - Savings'!$C$994</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Savings'!$G$994:$AA$994</c:f>
              <c:numCache>
                <c:formatCode>General</c:formatCode>
                <c:ptCount val="21"/>
                <c:pt idx="0">
                  <c:v>636.3957961577437</c:v>
                </c:pt>
                <c:pt idx="1">
                  <c:v>651.6677959966031</c:v>
                </c:pt>
                <c:pt idx="2">
                  <c:v>665.9837997227795</c:v>
                </c:pt>
                <c:pt idx="3">
                  <c:v>677.245783704113</c:v>
                </c:pt>
                <c:pt idx="4">
                  <c:v>670.6671718872275</c:v>
                </c:pt>
                <c:pt idx="5">
                  <c:v>661.411976437535</c:v>
                </c:pt>
                <c:pt idx="6">
                  <c:v>656.8140418362182</c:v>
                </c:pt>
                <c:pt idx="7">
                  <c:v>657.0129472813704</c:v>
                </c:pt>
                <c:pt idx="8">
                  <c:v>658.9879447858779</c:v>
                </c:pt>
                <c:pt idx="9">
                  <c:v>665.5117838105806</c:v>
                </c:pt>
                <c:pt idx="10">
                  <c:v>673.8449086032224</c:v>
                </c:pt>
                <c:pt idx="11">
                  <c:v>678.4443901896016</c:v>
                </c:pt>
                <c:pt idx="12">
                  <c:v>686.5609980795865</c:v>
                </c:pt>
                <c:pt idx="13">
                  <c:v>692.8808135000415</c:v>
                </c:pt>
                <c:pt idx="14">
                  <c:v>691.2094809631463</c:v>
                </c:pt>
                <c:pt idx="15">
                  <c:v>697.5510990535228</c:v>
                </c:pt>
                <c:pt idx="16">
                  <c:v>694.4197062904017</c:v>
                </c:pt>
                <c:pt idx="17">
                  <c:v>689.5728196407854</c:v>
                </c:pt>
                <c:pt idx="18">
                  <c:v>683.8568091583884</c:v>
                </c:pt>
                <c:pt idx="19">
                  <c:v>677.4047298924775</c:v>
                </c:pt>
                <c:pt idx="20">
                  <c:v>680.579926078438</c:v>
                </c:pt>
              </c:numCache>
            </c:numRef>
          </c:val>
        </c:ser>
        <c:marker val="1"/>
        <c:axId val="551293112"/>
        <c:axId val="619257000"/>
      </c:lineChart>
      <c:catAx>
        <c:axId val="551293112"/>
        <c:scaling>
          <c:orientation val="minMax"/>
        </c:scaling>
        <c:axPos val="b"/>
        <c:numFmt formatCode="General" sourceLinked="1"/>
        <c:tickLblPos val="nextTo"/>
        <c:crossAx val="619257000"/>
        <c:crosses val="autoZero"/>
        <c:auto val="1"/>
        <c:lblAlgn val="ctr"/>
        <c:lblOffset val="100"/>
        <c:tickLblSkip val="5"/>
        <c:tickMarkSkip val="5"/>
      </c:catAx>
      <c:valAx>
        <c:axId val="619257000"/>
        <c:scaling>
          <c:orientation val="minMax"/>
          <c:max val="900.0"/>
          <c:min val="5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51293112"/>
        <c:crosses val="autoZero"/>
        <c:crossBetween val="between"/>
        <c:majorUnit val="50.0"/>
      </c:valAx>
    </c:plotArea>
    <c:legend>
      <c:legendPos val="b"/>
      <c:layout>
        <c:manualLayout>
          <c:xMode val="edge"/>
          <c:yMode val="edge"/>
          <c:x val="0.000989706635398208"/>
          <c:y val="0.923325770719338"/>
          <c:w val="0.994358812840703"/>
          <c:h val="0.076674229280661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11919770773639"/>
          <c:y val="0.0509259259259259"/>
          <c:w val="0.746055396370594"/>
          <c:h val="0.729471420239142"/>
        </c:manualLayout>
      </c:layout>
      <c:barChart>
        <c:barDir val="col"/>
        <c:grouping val="stacked"/>
        <c:ser>
          <c:idx val="0"/>
          <c:order val="0"/>
          <c:tx>
            <c:strRef>
              <c:f>'SA STATES - Savings'!$D$496</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Savings'!$R$496,'SA STATES - Savings'!$AB$496)</c:f>
              <c:numCache>
                <c:formatCode>General</c:formatCode>
                <c:ptCount val="2"/>
                <c:pt idx="0">
                  <c:v>37.2612848345929</c:v>
                </c:pt>
                <c:pt idx="1">
                  <c:v>53.62805836002265</c:v>
                </c:pt>
              </c:numCache>
            </c:numRef>
          </c:val>
        </c:ser>
        <c:ser>
          <c:idx val="2"/>
          <c:order val="1"/>
          <c:tx>
            <c:strRef>
              <c:f>'SA STATES - Savings'!$D$497</c:f>
              <c:strCache>
                <c:ptCount val="1"/>
                <c:pt idx="0">
                  <c:v>Natural Gas</c:v>
                </c:pt>
              </c:strCache>
            </c:strRef>
          </c:tx>
          <c:val>
            <c:numRef>
              <c:f>('SA STATES - Savings'!$Q$497,'SA STATES - Savings'!$AA$497)</c:f>
              <c:numCache>
                <c:formatCode>General</c:formatCode>
                <c:ptCount val="2"/>
                <c:pt idx="0">
                  <c:v>3.8680790872194</c:v>
                </c:pt>
                <c:pt idx="1">
                  <c:v>0.247386600483992</c:v>
                </c:pt>
              </c:numCache>
            </c:numRef>
          </c:val>
        </c:ser>
        <c:ser>
          <c:idx val="3"/>
          <c:order val="2"/>
          <c:tx>
            <c:strRef>
              <c:f>'SA STATES - Savings'!$D$499</c:f>
              <c:strCache>
                <c:ptCount val="1"/>
                <c:pt idx="0">
                  <c:v>Other</c:v>
                </c:pt>
              </c:strCache>
            </c:strRef>
          </c:tx>
          <c:spPr>
            <a:solidFill>
              <a:srgbClr val="C0504D"/>
            </a:solidFill>
          </c:spPr>
          <c:val>
            <c:numRef>
              <c:f>('SA STATES - Savings'!$Q$502,'SA STATES - Savings'!$AA$502)</c:f>
              <c:numCache>
                <c:formatCode>General</c:formatCode>
                <c:ptCount val="2"/>
                <c:pt idx="0">
                  <c:v>1.121525510870015</c:v>
                </c:pt>
                <c:pt idx="1">
                  <c:v>-0.527523181074735</c:v>
                </c:pt>
              </c:numCache>
            </c:numRef>
          </c:val>
        </c:ser>
        <c:gapWidth val="75"/>
        <c:overlap val="100"/>
        <c:axId val="533450792"/>
        <c:axId val="619481544"/>
      </c:barChart>
      <c:catAx>
        <c:axId val="533450792"/>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19481544"/>
        <c:crosses val="autoZero"/>
        <c:auto val="1"/>
        <c:lblAlgn val="ctr"/>
        <c:lblOffset val="100"/>
      </c:catAx>
      <c:valAx>
        <c:axId val="619481544"/>
        <c:scaling>
          <c:orientation val="minMax"/>
          <c:max val="18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450792"/>
        <c:crosses val="autoZero"/>
        <c:crossBetween val="between"/>
        <c:majorUnit val="20.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1364992419427"/>
          <c:y val="0.0509259259259259"/>
          <c:w val="0.754808366345517"/>
          <c:h val="0.683697340862695"/>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sector'!$N$1)</c:f>
              <c:strCache>
                <c:ptCount val="3"/>
                <c:pt idx="0">
                  <c:v>United States 
101,600 TBtu</c:v>
                </c:pt>
                <c:pt idx="1">
                  <c:v>South Region 
43,650 TBtu</c:v>
                </c:pt>
                <c:pt idx="2">
                  <c:v>North Carolina 
2,700 Tbtu</c:v>
                </c:pt>
              </c:strCache>
            </c:strRef>
          </c:cat>
          <c:val>
            <c:numRef>
              <c:f>('historical by sector'!$B$14,'historical by sector'!$C$14,'historical by sector'!$N$14)</c:f>
              <c:numCache>
                <c:formatCode>0.0%</c:formatCode>
                <c:ptCount val="3"/>
                <c:pt idx="0">
                  <c:v>0.214</c:v>
                </c:pt>
                <c:pt idx="1">
                  <c:v>0.195</c:v>
                </c:pt>
                <c:pt idx="2">
                  <c:v>0.265</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sector'!$N$1)</c:f>
              <c:strCache>
                <c:ptCount val="3"/>
                <c:pt idx="0">
                  <c:v>United States 
101,600 TBtu</c:v>
                </c:pt>
                <c:pt idx="1">
                  <c:v>South Region 
43,650 TBtu</c:v>
                </c:pt>
                <c:pt idx="2">
                  <c:v>North Carolina 
2,700 Tbtu</c:v>
                </c:pt>
              </c:strCache>
            </c:strRef>
          </c:cat>
          <c:val>
            <c:numRef>
              <c:f>('historical by sector'!$B$15,'historical by sector'!$C$15,'historical by sector'!$N$15)</c:f>
              <c:numCache>
                <c:formatCode>0.0%</c:formatCode>
                <c:ptCount val="3"/>
                <c:pt idx="0">
                  <c:v>0.181</c:v>
                </c:pt>
                <c:pt idx="1">
                  <c:v>0.16</c:v>
                </c:pt>
                <c:pt idx="2">
                  <c:v>0.212</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sector'!$N$1)</c:f>
              <c:strCache>
                <c:ptCount val="3"/>
                <c:pt idx="0">
                  <c:v>United States 
101,600 TBtu</c:v>
                </c:pt>
                <c:pt idx="1">
                  <c:v>South Region 
43,650 TBtu</c:v>
                </c:pt>
                <c:pt idx="2">
                  <c:v>North Carolina 
2,700 Tbtu</c:v>
                </c:pt>
              </c:strCache>
            </c:strRef>
          </c:cat>
          <c:val>
            <c:numRef>
              <c:f>('historical by sector'!$B$16,'historical by sector'!$C$16,'historical by sector'!$N$16)</c:f>
              <c:numCache>
                <c:formatCode>0.0%</c:formatCode>
                <c:ptCount val="3"/>
                <c:pt idx="0">
                  <c:v>0.318000000000006</c:v>
                </c:pt>
                <c:pt idx="1">
                  <c:v>0.376000000000006</c:v>
                </c:pt>
                <c:pt idx="2">
                  <c:v>0.238</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sector'!$N$1)</c:f>
              <c:strCache>
                <c:ptCount val="3"/>
                <c:pt idx="0">
                  <c:v>United States 
101,600 TBtu</c:v>
                </c:pt>
                <c:pt idx="1">
                  <c:v>South Region 
43,650 TBtu</c:v>
                </c:pt>
                <c:pt idx="2">
                  <c:v>North Carolina 
2,700 Tbtu</c:v>
                </c:pt>
              </c:strCache>
            </c:strRef>
          </c:cat>
          <c:val>
            <c:numRef>
              <c:f>('historical by sector'!$B$17,'historical by sector'!$C$17,'historical by sector'!$N$17)</c:f>
              <c:numCache>
                <c:formatCode>0.0%</c:formatCode>
                <c:ptCount val="3"/>
                <c:pt idx="0">
                  <c:v>0.286</c:v>
                </c:pt>
                <c:pt idx="1">
                  <c:v>0.269</c:v>
                </c:pt>
                <c:pt idx="2">
                  <c:v>0.284</c:v>
                </c:pt>
              </c:numCache>
            </c:numRef>
          </c:val>
        </c:ser>
        <c:dLbls>
          <c:showVal val="1"/>
        </c:dLbls>
        <c:gapWidth val="75"/>
        <c:overlap val="100"/>
        <c:axId val="688162248"/>
        <c:axId val="609885288"/>
      </c:barChart>
      <c:catAx>
        <c:axId val="688162248"/>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609885288"/>
        <c:crosses val="autoZero"/>
        <c:auto val="1"/>
        <c:lblAlgn val="ctr"/>
        <c:lblOffset val="100"/>
      </c:catAx>
      <c:valAx>
        <c:axId val="609885288"/>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88162248"/>
        <c:crosses val="autoZero"/>
        <c:crossBetween val="between"/>
      </c:valAx>
      <c:spPr>
        <a:ln>
          <a:solidFill>
            <a:sysClr val="window" lastClr="FFFFFF">
              <a:lumMod val="50000"/>
            </a:sysClr>
          </a:solidFill>
        </a:ln>
      </c:spPr>
    </c:plotArea>
    <c:legend>
      <c:legendPos val="b"/>
      <c:layout>
        <c:manualLayout>
          <c:xMode val="edge"/>
          <c:yMode val="edge"/>
          <c:x val="0.236909150560732"/>
          <c:y val="0.897862980195641"/>
          <c:w val="0.526181549749449"/>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7360690490612"/>
          <c:y val="0.0348473937773404"/>
          <c:w val="0.777801500773942"/>
          <c:h val="0.737830123602298"/>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type'!$N$1)</c:f>
              <c:strCache>
                <c:ptCount val="3"/>
                <c:pt idx="0">
                  <c:v>United States 
101,600 TBtu</c:v>
                </c:pt>
                <c:pt idx="1">
                  <c:v>South Region 
43,650 TBtu</c:v>
                </c:pt>
                <c:pt idx="2">
                  <c:v>North Carolina 
2,700 Tbtu</c:v>
                </c:pt>
              </c:strCache>
            </c:strRef>
          </c:cat>
          <c:val>
            <c:numRef>
              <c:f>('historical by fuel type'!$B$11,'historical by fuel type'!$C$11,'historical by fuel type'!$N$11)</c:f>
              <c:numCache>
                <c:formatCode>General</c:formatCode>
                <c:ptCount val="3"/>
                <c:pt idx="0">
                  <c:v>0.223907480314966</c:v>
                </c:pt>
                <c:pt idx="1">
                  <c:v>0.229862542955326</c:v>
                </c:pt>
                <c:pt idx="2">
                  <c:v>0.306592592592593</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type'!$N$1)</c:f>
              <c:strCache>
                <c:ptCount val="3"/>
                <c:pt idx="0">
                  <c:v>United States 
101,600 TBtu</c:v>
                </c:pt>
                <c:pt idx="1">
                  <c:v>South Region 
43,650 TBtu</c:v>
                </c:pt>
                <c:pt idx="2">
                  <c:v>North Carolina 
2,700 Tbtu</c:v>
                </c:pt>
              </c:strCache>
            </c:strRef>
          </c:cat>
          <c:val>
            <c:numRef>
              <c:f>('historical by fuel type'!$B$12,'historical by fuel type'!$C$12,'historical by fuel type'!$N$12)</c:f>
              <c:numCache>
                <c:formatCode>General</c:formatCode>
                <c:ptCount val="3"/>
                <c:pt idx="0">
                  <c:v>0.23255905511811</c:v>
                </c:pt>
                <c:pt idx="1">
                  <c:v>0.225253150057276</c:v>
                </c:pt>
                <c:pt idx="2">
                  <c:v>0.0908148148148148</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type'!$N$1)</c:f>
              <c:strCache>
                <c:ptCount val="3"/>
                <c:pt idx="0">
                  <c:v>United States 
101,600 TBtu</c:v>
                </c:pt>
                <c:pt idx="1">
                  <c:v>South Region 
43,650 TBtu</c:v>
                </c:pt>
                <c:pt idx="2">
                  <c:v>North Carolina 
2,700 Tbtu</c:v>
                </c:pt>
              </c:strCache>
            </c:strRef>
          </c:cat>
          <c:val>
            <c:numRef>
              <c:f>('historical by fuel type'!$B$13,'historical by fuel type'!$C$13,'historical by fuel type'!$N$13)</c:f>
              <c:numCache>
                <c:formatCode>General</c:formatCode>
                <c:ptCount val="3"/>
                <c:pt idx="0">
                  <c:v>0.391466535433077</c:v>
                </c:pt>
                <c:pt idx="1">
                  <c:v>0.407225658648333</c:v>
                </c:pt>
                <c:pt idx="2">
                  <c:v>0.359555555555555</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type'!$N$1)</c:f>
              <c:strCache>
                <c:ptCount val="3"/>
                <c:pt idx="0">
                  <c:v>United States 
101,600 TBtu</c:v>
                </c:pt>
                <c:pt idx="1">
                  <c:v>South Region 
43,650 TBtu</c:v>
                </c:pt>
                <c:pt idx="2">
                  <c:v>North Carolina 
2,700 Tbtu</c:v>
                </c:pt>
              </c:strCache>
            </c:strRef>
          </c:cat>
          <c:val>
            <c:numRef>
              <c:f>('historical by fuel type'!$B$14,'historical by fuel type'!$C$14,'historical by fuel type'!$N$14)</c:f>
              <c:numCache>
                <c:formatCode>General</c:formatCode>
                <c:ptCount val="3"/>
                <c:pt idx="0">
                  <c:v>0.083248031496063</c:v>
                </c:pt>
                <c:pt idx="1">
                  <c:v>0.082318442153495</c:v>
                </c:pt>
                <c:pt idx="2">
                  <c:v>0.155555555555556</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
                  <c:y val="0.0909289930481453"/>
                </c:manualLayout>
              </c:layout>
              <c:tx>
                <c:rich>
                  <a:bodyPr/>
                  <a:lstStyle/>
                  <a:p>
                    <a:r>
                      <a:rPr lang="en-US">
                        <a:solidFill>
                          <a:sysClr val="windowText" lastClr="000000"/>
                        </a:solidFill>
                      </a:rPr>
                      <a:t>4.2%</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type'!$N$1)</c:f>
              <c:strCache>
                <c:ptCount val="3"/>
                <c:pt idx="0">
                  <c:v>United States 
101,600 TBtu</c:v>
                </c:pt>
                <c:pt idx="1">
                  <c:v>South Region 
43,650 TBtu</c:v>
                </c:pt>
                <c:pt idx="2">
                  <c:v>North Carolina 
2,700 Tbtu</c:v>
                </c:pt>
              </c:strCache>
            </c:strRef>
          </c:cat>
          <c:val>
            <c:numRef>
              <c:f>('historical by fuel type'!$B$15,'historical by fuel type'!$C$15,'historical by fuel type'!$N$15)</c:f>
              <c:numCache>
                <c:formatCode>General</c:formatCode>
                <c:ptCount val="3"/>
                <c:pt idx="0">
                  <c:v>0.0670669291338595</c:v>
                </c:pt>
                <c:pt idx="1">
                  <c:v>0.0409873997709049</c:v>
                </c:pt>
                <c:pt idx="2">
                  <c:v>0.0421481481481481</c:v>
                </c:pt>
              </c:numCache>
            </c:numRef>
          </c:val>
        </c:ser>
        <c:ser>
          <c:idx val="5"/>
          <c:order val="5"/>
          <c:tx>
            <c:strRef>
              <c:f>'historical by fuel type'!$A$16</c:f>
              <c:strCache>
                <c:ptCount val="1"/>
                <c:pt idx="0">
                  <c:v>Other</c:v>
                </c:pt>
              </c:strCache>
            </c:strRef>
          </c:tx>
          <c:dLbls>
            <c:dLbl>
              <c:idx val="0"/>
              <c:layout>
                <c:manualLayout>
                  <c:x val="0.0264786271227614"/>
                  <c:y val="-0.0034972689633902"/>
                </c:manualLayout>
              </c:layout>
              <c:tx>
                <c:rich>
                  <a:bodyPr/>
                  <a:lstStyle/>
                  <a:p>
                    <a:r>
                      <a:rPr lang="en-US">
                        <a:solidFill>
                          <a:sysClr val="windowText" lastClr="000000"/>
                        </a:solidFill>
                      </a:rPr>
                      <a:t>0.2%</a:t>
                    </a:r>
                  </a:p>
                </c:rich>
              </c:tx>
              <c:showVal val="1"/>
            </c:dLbl>
            <c:dLbl>
              <c:idx val="1"/>
              <c:layout>
                <c:manualLayout>
                  <c:x val="0.0316594225157218"/>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dLbl>
              <c:idx val="2"/>
              <c:layout>
                <c:manualLayout>
                  <c:x val="0.0390460248379674"/>
                  <c:y val="-2.75375508928369E-7"/>
                </c:manualLayout>
              </c:layout>
              <c:tx>
                <c:rich>
                  <a:bodyPr/>
                  <a:lstStyle/>
                  <a:p>
                    <a:r>
                      <a:rPr lang="en-US">
                        <a:solidFill>
                          <a:sysClr val="windowText" lastClr="000000"/>
                        </a:solidFill>
                      </a:rPr>
                      <a:t>4.5%</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type'!$N$1)</c:f>
              <c:strCache>
                <c:ptCount val="3"/>
                <c:pt idx="0">
                  <c:v>United States 
101,600 TBtu</c:v>
                </c:pt>
                <c:pt idx="1">
                  <c:v>South Region 
43,650 TBtu</c:v>
                </c:pt>
                <c:pt idx="2">
                  <c:v>North Carolina 
2,700 Tbtu</c:v>
                </c:pt>
              </c:strCache>
            </c:strRef>
          </c:cat>
          <c:val>
            <c:numRef>
              <c:f>('historical by fuel type'!$B$16,'historical by fuel type'!$C$16,'historical by fuel type'!$N$16)</c:f>
              <c:numCache>
                <c:formatCode>General</c:formatCode>
                <c:ptCount val="3"/>
                <c:pt idx="0">
                  <c:v>0.00175196850393701</c:v>
                </c:pt>
                <c:pt idx="1">
                  <c:v>0.0143528064146623</c:v>
                </c:pt>
                <c:pt idx="2">
                  <c:v>0.0453333333333345</c:v>
                </c:pt>
              </c:numCache>
            </c:numRef>
          </c:val>
        </c:ser>
        <c:dLbls>
          <c:showVal val="1"/>
        </c:dLbls>
        <c:gapWidth val="95"/>
        <c:overlap val="100"/>
        <c:axId val="687811736"/>
        <c:axId val="532531016"/>
      </c:barChart>
      <c:catAx>
        <c:axId val="687811736"/>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32531016"/>
        <c:crosses val="autoZero"/>
        <c:lblAlgn val="ctr"/>
        <c:lblOffset val="100"/>
      </c:catAx>
      <c:valAx>
        <c:axId val="532531016"/>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87811736"/>
        <c:crosses val="autoZero"/>
        <c:crossBetween val="between"/>
      </c:valAx>
      <c:spPr>
        <a:ln>
          <a:solidFill>
            <a:schemeClr val="accent1"/>
          </a:solidFill>
        </a:ln>
      </c:spPr>
    </c:plotArea>
    <c:legend>
      <c:legendPos val="t"/>
      <c:layout>
        <c:manualLayout>
          <c:xMode val="edge"/>
          <c:yMode val="edge"/>
          <c:x val="0.104142131967427"/>
          <c:y val="0.902295392554688"/>
          <c:w val="0.882708358732242"/>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8910766588959"/>
          <c:y val="0.0508474576271188"/>
          <c:w val="0.768065730914079"/>
          <c:h val="0.75593220338984"/>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Potential'!$F$49:$Z$49</c:f>
              <c:numCache>
                <c:formatCode>General</c:formatCode>
                <c:ptCount val="21"/>
                <c:pt idx="0">
                  <c:v>2683.019893122674</c:v>
                </c:pt>
                <c:pt idx="1">
                  <c:v>2726.664274337465</c:v>
                </c:pt>
                <c:pt idx="2">
                  <c:v>2759.075993836602</c:v>
                </c:pt>
                <c:pt idx="3">
                  <c:v>2775.867375318738</c:v>
                </c:pt>
                <c:pt idx="4">
                  <c:v>2784.634552600413</c:v>
                </c:pt>
                <c:pt idx="5">
                  <c:v>2794.191137993238</c:v>
                </c:pt>
                <c:pt idx="6">
                  <c:v>2815.083787613076</c:v>
                </c:pt>
                <c:pt idx="7">
                  <c:v>2837.920833058294</c:v>
                </c:pt>
                <c:pt idx="8">
                  <c:v>2865.849196324601</c:v>
                </c:pt>
                <c:pt idx="9">
                  <c:v>2895.692748883025</c:v>
                </c:pt>
                <c:pt idx="10">
                  <c:v>2933.494963237731</c:v>
                </c:pt>
                <c:pt idx="11">
                  <c:v>2966.481776152407</c:v>
                </c:pt>
                <c:pt idx="12">
                  <c:v>3002.369895689855</c:v>
                </c:pt>
                <c:pt idx="13">
                  <c:v>3036.983800782696</c:v>
                </c:pt>
                <c:pt idx="14">
                  <c:v>3070.375374741346</c:v>
                </c:pt>
                <c:pt idx="15">
                  <c:v>3111.575009191354</c:v>
                </c:pt>
                <c:pt idx="16">
                  <c:v>3139.060422288457</c:v>
                </c:pt>
                <c:pt idx="17">
                  <c:v>3166.196744664627</c:v>
                </c:pt>
                <c:pt idx="18">
                  <c:v>3192.220803750808</c:v>
                </c:pt>
                <c:pt idx="19">
                  <c:v>3218.533470425436</c:v>
                </c:pt>
                <c:pt idx="20">
                  <c:v>3251.528894751004</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Potential'!$F$53:$Z$53</c:f>
              <c:numCache>
                <c:formatCode>General</c:formatCode>
                <c:ptCount val="21"/>
                <c:pt idx="0">
                  <c:v>2678.474963113874</c:v>
                </c:pt>
                <c:pt idx="1">
                  <c:v>2719.085706091606</c:v>
                </c:pt>
                <c:pt idx="2">
                  <c:v>2748.40351514063</c:v>
                </c:pt>
                <c:pt idx="3">
                  <c:v>2761.625333064387</c:v>
                </c:pt>
                <c:pt idx="4">
                  <c:v>2763.113209000688</c:v>
                </c:pt>
                <c:pt idx="5">
                  <c:v>2761.842022414813</c:v>
                </c:pt>
                <c:pt idx="6">
                  <c:v>2772.012721444537</c:v>
                </c:pt>
                <c:pt idx="7">
                  <c:v>2784.767234714637</c:v>
                </c:pt>
                <c:pt idx="8">
                  <c:v>2803.839813025056</c:v>
                </c:pt>
                <c:pt idx="9">
                  <c:v>2824.885914058317</c:v>
                </c:pt>
                <c:pt idx="10">
                  <c:v>2854.528219595839</c:v>
                </c:pt>
                <c:pt idx="11">
                  <c:v>2879.894741386411</c:v>
                </c:pt>
                <c:pt idx="12">
                  <c:v>2907.662166943994</c:v>
                </c:pt>
                <c:pt idx="13">
                  <c:v>2934.825796455086</c:v>
                </c:pt>
                <c:pt idx="14">
                  <c:v>2961.573966714017</c:v>
                </c:pt>
                <c:pt idx="15">
                  <c:v>2996.248474391599</c:v>
                </c:pt>
                <c:pt idx="16">
                  <c:v>3018.200361830638</c:v>
                </c:pt>
                <c:pt idx="17">
                  <c:v>3039.924056749521</c:v>
                </c:pt>
                <c:pt idx="18">
                  <c:v>3061.507921163669</c:v>
                </c:pt>
                <c:pt idx="19">
                  <c:v>3084.057722825562</c:v>
                </c:pt>
                <c:pt idx="20">
                  <c:v>3113.157676592761</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Potential'!$F$54:$Z$54</c:f>
              <c:numCache>
                <c:formatCode>General</c:formatCode>
                <c:ptCount val="21"/>
                <c:pt idx="0">
                  <c:v>2664.814053221561</c:v>
                </c:pt>
                <c:pt idx="1">
                  <c:v>2698.1914666081</c:v>
                </c:pt>
                <c:pt idx="2">
                  <c:v>2720.278193282162</c:v>
                </c:pt>
                <c:pt idx="3">
                  <c:v>2726.598562608301</c:v>
                </c:pt>
                <c:pt idx="4">
                  <c:v>2720.206948229043</c:v>
                </c:pt>
                <c:pt idx="5">
                  <c:v>2708.913855539787</c:v>
                </c:pt>
                <c:pt idx="6">
                  <c:v>2709.398366909486</c:v>
                </c:pt>
                <c:pt idx="7">
                  <c:v>2713.430176879747</c:v>
                </c:pt>
                <c:pt idx="8">
                  <c:v>2724.416592759462</c:v>
                </c:pt>
                <c:pt idx="9">
                  <c:v>2737.85903464098</c:v>
                </c:pt>
                <c:pt idx="10">
                  <c:v>2759.753101776796</c:v>
                </c:pt>
                <c:pt idx="11">
                  <c:v>2778.010630753216</c:v>
                </c:pt>
                <c:pt idx="12">
                  <c:v>2797.689658481548</c:v>
                </c:pt>
                <c:pt idx="13">
                  <c:v>2817.100689959625</c:v>
                </c:pt>
                <c:pt idx="14">
                  <c:v>2836.112745771422</c:v>
                </c:pt>
                <c:pt idx="15">
                  <c:v>2862.574004016231</c:v>
                </c:pt>
                <c:pt idx="16">
                  <c:v>2876.803793643727</c:v>
                </c:pt>
                <c:pt idx="17">
                  <c:v>2890.953090983133</c:v>
                </c:pt>
                <c:pt idx="18">
                  <c:v>2905.789329224523</c:v>
                </c:pt>
                <c:pt idx="19">
                  <c:v>2920.784375948079</c:v>
                </c:pt>
                <c:pt idx="20">
                  <c:v>2941.854559944032</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Potential'!$F$55:$Z$55</c:f>
              <c:numCache>
                <c:formatCode>General</c:formatCode>
                <c:ptCount val="21"/>
                <c:pt idx="0">
                  <c:v>2651.975905709076</c:v>
                </c:pt>
                <c:pt idx="1">
                  <c:v>2682.802154357967</c:v>
                </c:pt>
                <c:pt idx="2">
                  <c:v>2701.96848216158</c:v>
                </c:pt>
                <c:pt idx="3">
                  <c:v>2705.723585792551</c:v>
                </c:pt>
                <c:pt idx="4">
                  <c:v>2696.214100901827</c:v>
                </c:pt>
                <c:pt idx="5">
                  <c:v>2684.34196343294</c:v>
                </c:pt>
                <c:pt idx="6">
                  <c:v>2682.239472342236</c:v>
                </c:pt>
                <c:pt idx="7">
                  <c:v>2684.58785713155</c:v>
                </c:pt>
                <c:pt idx="8">
                  <c:v>2693.883446981346</c:v>
                </c:pt>
                <c:pt idx="9">
                  <c:v>2704.346029616869</c:v>
                </c:pt>
                <c:pt idx="10">
                  <c:v>2724.71580478286</c:v>
                </c:pt>
                <c:pt idx="11">
                  <c:v>2741.993800084802</c:v>
                </c:pt>
                <c:pt idx="12">
                  <c:v>2759.216286869487</c:v>
                </c:pt>
                <c:pt idx="13">
                  <c:v>2780.21828763781</c:v>
                </c:pt>
                <c:pt idx="14">
                  <c:v>2798.61015665907</c:v>
                </c:pt>
                <c:pt idx="15">
                  <c:v>2827.040485506226</c:v>
                </c:pt>
                <c:pt idx="16">
                  <c:v>2841.391641924314</c:v>
                </c:pt>
                <c:pt idx="17">
                  <c:v>2853.247868289235</c:v>
                </c:pt>
                <c:pt idx="18">
                  <c:v>2868.387593855138</c:v>
                </c:pt>
                <c:pt idx="19">
                  <c:v>2878.840220404003</c:v>
                </c:pt>
                <c:pt idx="20">
                  <c:v>2901.141376898212</c:v>
                </c:pt>
              </c:numCache>
            </c:numRef>
          </c:val>
        </c:ser>
        <c:marker val="1"/>
        <c:axId val="687726488"/>
        <c:axId val="686713016"/>
      </c:lineChart>
      <c:catAx>
        <c:axId val="687726488"/>
        <c:scaling>
          <c:orientation val="minMax"/>
        </c:scaling>
        <c:axPos val="b"/>
        <c:numFmt formatCode="General" sourceLinked="1"/>
        <c:tickLblPos val="nextTo"/>
        <c:crossAx val="686713016"/>
        <c:crosses val="autoZero"/>
        <c:auto val="1"/>
        <c:lblAlgn val="ctr"/>
        <c:lblOffset val="10"/>
        <c:tickLblSkip val="5"/>
      </c:catAx>
      <c:valAx>
        <c:axId val="686713016"/>
        <c:scaling>
          <c:orientation val="minMax"/>
          <c:max val="3250.0"/>
          <c:min val="2500.0"/>
        </c:scaling>
        <c:axPos val="l"/>
        <c:majorGridlines/>
        <c:title>
          <c:tx>
            <c:rich>
              <a:bodyPr rot="-5400000" vert="horz"/>
              <a:lstStyle/>
              <a:p>
                <a:pPr>
                  <a:defRPr/>
                </a:pPr>
                <a:r>
                  <a:rPr lang="en-US"/>
                  <a:t>Total Energy Consumption</a:t>
                </a:r>
              </a:p>
              <a:p>
                <a:pPr>
                  <a:defRPr/>
                </a:pPr>
                <a:r>
                  <a:rPr lang="en-US"/>
                  <a:t>-All Sectors  (TBtu)</a:t>
                </a:r>
              </a:p>
            </c:rich>
          </c:tx>
          <c:layout>
            <c:manualLayout>
              <c:xMode val="edge"/>
              <c:yMode val="edge"/>
              <c:x val="0.00282296808353639"/>
              <c:y val="0.164436852173139"/>
            </c:manualLayout>
          </c:layout>
        </c:title>
        <c:numFmt formatCode="#,##0" sourceLinked="0"/>
        <c:majorTickMark val="none"/>
        <c:tickLblPos val="nextTo"/>
        <c:spPr>
          <a:ln w="9525">
            <a:noFill/>
          </a:ln>
        </c:spPr>
        <c:crossAx val="687726488"/>
        <c:crosses val="autoZero"/>
        <c:crossBetween val="between"/>
        <c:majorUnit val="25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7"/>
          <c:h val="0.679908892075619"/>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5'!$E$97,'Figure 5'!$F$97,'Figure 5'!$E$99,'Figure 5'!$F$99,'Figure 5'!$E$101,'Figure 5'!$F$101)</c:f>
              <c:numCache>
                <c:formatCode>General</c:formatCode>
                <c:ptCount val="6"/>
                <c:pt idx="0">
                  <c:v>603.2000852842274</c:v>
                </c:pt>
                <c:pt idx="1">
                  <c:v>648.5732186543248</c:v>
                </c:pt>
                <c:pt idx="2">
                  <c:v>673.8449086032224</c:v>
                </c:pt>
                <c:pt idx="3">
                  <c:v>680.579926078438</c:v>
                </c:pt>
                <c:pt idx="4">
                  <c:v>692.181082893062</c:v>
                </c:pt>
                <c:pt idx="5">
                  <c:v>740.5928994811009</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5'!$E$98,'Figure 5'!$F$98,'Figure 5'!$E$100,'Figure 5'!$F$100,'Figure 5'!$E$102,'Figure 5'!$F$102)</c:f>
              <c:numCache>
                <c:formatCode>General</c:formatCode>
                <c:ptCount val="6"/>
                <c:pt idx="0">
                  <c:v>94.77511781904285</c:v>
                </c:pt>
                <c:pt idx="1">
                  <c:v>171.3031166487312</c:v>
                </c:pt>
                <c:pt idx="2">
                  <c:v>42.25088943268184</c:v>
                </c:pt>
                <c:pt idx="3">
                  <c:v>53.34792177943074</c:v>
                </c:pt>
                <c:pt idx="4">
                  <c:v>78.96674364189172</c:v>
                </c:pt>
                <c:pt idx="5">
                  <c:v>138.3712181582883</c:v>
                </c:pt>
              </c:numCache>
            </c:numRef>
          </c:val>
        </c:ser>
        <c:gapWidth val="60"/>
        <c:overlap val="100"/>
        <c:axId val="688255016"/>
        <c:axId val="686967064"/>
      </c:barChart>
      <c:catAx>
        <c:axId val="688255016"/>
        <c:scaling>
          <c:orientation val="minMax"/>
        </c:scaling>
        <c:axPos val="b"/>
        <c:numFmt formatCode="General" sourceLinked="1"/>
        <c:majorTickMark val="none"/>
        <c:tickLblPos val="nextTo"/>
        <c:crossAx val="686967064"/>
        <c:crosses val="autoZero"/>
        <c:auto val="1"/>
        <c:lblAlgn val="ctr"/>
        <c:lblOffset val="10"/>
      </c:catAx>
      <c:valAx>
        <c:axId val="686967064"/>
        <c:scaling>
          <c:orientation val="minMax"/>
        </c:scaling>
        <c:axPos val="l"/>
        <c:majorGridlines/>
        <c:title>
          <c:tx>
            <c:rich>
              <a:bodyPr rot="-5400000" vert="horz"/>
              <a:lstStyle/>
              <a:p>
                <a:pPr>
                  <a:defRPr/>
                </a:pPr>
                <a:r>
                  <a:rPr lang="en-US"/>
                  <a:t>Consumption (TBtu)</a:t>
                </a:r>
              </a:p>
            </c:rich>
          </c:tx>
        </c:title>
        <c:numFmt formatCode="#,##0" sourceLinked="0"/>
        <c:majorTickMark val="none"/>
        <c:tickLblPos val="nextTo"/>
        <c:spPr>
          <a:ln w="9525">
            <a:noFill/>
          </a:ln>
        </c:spPr>
        <c:crossAx val="688255016"/>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2102102102102"/>
          <c:y val="0.0497175141242952"/>
          <c:w val="0.716669740606749"/>
          <c:h val="0.720233462342631"/>
        </c:manualLayout>
      </c:layout>
      <c:lineChart>
        <c:grouping val="standard"/>
        <c:ser>
          <c:idx val="0"/>
          <c:order val="0"/>
          <c:tx>
            <c:strRef>
              <c:f>'SA STATES - Savings'!$C$996</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Savings'!$G$996:$AA$996</c:f>
              <c:numCache>
                <c:formatCode>General</c:formatCode>
                <c:ptCount val="21"/>
                <c:pt idx="0">
                  <c:v>700.8963942837124</c:v>
                </c:pt>
                <c:pt idx="1">
                  <c:v>705.4725194483651</c:v>
                </c:pt>
                <c:pt idx="2">
                  <c:v>712.468744516628</c:v>
                </c:pt>
                <c:pt idx="3">
                  <c:v>710.3463759953922</c:v>
                </c:pt>
                <c:pt idx="4">
                  <c:v>715.5711275106346</c:v>
                </c:pt>
                <c:pt idx="5">
                  <c:v>722.3550769144629</c:v>
                </c:pt>
                <c:pt idx="6">
                  <c:v>731.3586920945528</c:v>
                </c:pt>
                <c:pt idx="7">
                  <c:v>739.7747908293865</c:v>
                </c:pt>
                <c:pt idx="8">
                  <c:v>749.8348390426615</c:v>
                </c:pt>
                <c:pt idx="9">
                  <c:v>760.8610511228974</c:v>
                </c:pt>
                <c:pt idx="10">
                  <c:v>771.1478265349529</c:v>
                </c:pt>
                <c:pt idx="11">
                  <c:v>778.8317626039274</c:v>
                </c:pt>
                <c:pt idx="12">
                  <c:v>790.2637587284598</c:v>
                </c:pt>
                <c:pt idx="13">
                  <c:v>802.6124596935074</c:v>
                </c:pt>
                <c:pt idx="14">
                  <c:v>816.6698111803629</c:v>
                </c:pt>
                <c:pt idx="15">
                  <c:v>828.1630737893655</c:v>
                </c:pt>
                <c:pt idx="16">
                  <c:v>840.7972338530825</c:v>
                </c:pt>
                <c:pt idx="17">
                  <c:v>852.1712062466716</c:v>
                </c:pt>
                <c:pt idx="18">
                  <c:v>863.2883617484726</c:v>
                </c:pt>
                <c:pt idx="19">
                  <c:v>870.2078727336935</c:v>
                </c:pt>
                <c:pt idx="20">
                  <c:v>878.9641176393856</c:v>
                </c:pt>
              </c:numCache>
            </c:numRef>
          </c:val>
        </c:ser>
        <c:ser>
          <c:idx val="1"/>
          <c:order val="1"/>
          <c:tx>
            <c:strRef>
              <c:f>'SA STATES - Savings'!$C$997</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Savings'!$G$997:$AA$997</c:f>
              <c:numCache>
                <c:formatCode>General</c:formatCode>
                <c:ptCount val="21"/>
                <c:pt idx="0">
                  <c:v>696.3514642749074</c:v>
                </c:pt>
                <c:pt idx="1">
                  <c:v>697.8939512025065</c:v>
                </c:pt>
                <c:pt idx="2">
                  <c:v>701.7962658206999</c:v>
                </c:pt>
                <c:pt idx="3">
                  <c:v>696.1043337410435</c:v>
                </c:pt>
                <c:pt idx="4">
                  <c:v>694.0497839109475</c:v>
                </c:pt>
                <c:pt idx="5">
                  <c:v>690.0059613360938</c:v>
                </c:pt>
                <c:pt idx="6">
                  <c:v>688.2876259260233</c:v>
                </c:pt>
                <c:pt idx="7">
                  <c:v>686.6211924857322</c:v>
                </c:pt>
                <c:pt idx="8">
                  <c:v>687.8254557431277</c:v>
                </c:pt>
                <c:pt idx="9">
                  <c:v>690.0542162981901</c:v>
                </c:pt>
                <c:pt idx="10">
                  <c:v>692.181082893062</c:v>
                </c:pt>
                <c:pt idx="11">
                  <c:v>692.2447278379642</c:v>
                </c:pt>
                <c:pt idx="12">
                  <c:v>695.5560299825852</c:v>
                </c:pt>
                <c:pt idx="13">
                  <c:v>700.4544553658952</c:v>
                </c:pt>
                <c:pt idx="14">
                  <c:v>707.8684031530809</c:v>
                </c:pt>
                <c:pt idx="15">
                  <c:v>712.8365389896428</c:v>
                </c:pt>
                <c:pt idx="16">
                  <c:v>719.9371733952512</c:v>
                </c:pt>
                <c:pt idx="17">
                  <c:v>725.8985183315144</c:v>
                </c:pt>
                <c:pt idx="18">
                  <c:v>732.5754791613235</c:v>
                </c:pt>
                <c:pt idx="19">
                  <c:v>735.7321251337701</c:v>
                </c:pt>
                <c:pt idx="20">
                  <c:v>740.5928994811009</c:v>
                </c:pt>
              </c:numCache>
            </c:numRef>
          </c:val>
        </c:ser>
        <c:marker val="1"/>
        <c:axId val="686780184"/>
        <c:axId val="686846488"/>
      </c:lineChart>
      <c:catAx>
        <c:axId val="686780184"/>
        <c:scaling>
          <c:orientation val="minMax"/>
        </c:scaling>
        <c:axPos val="b"/>
        <c:numFmt formatCode="General" sourceLinked="1"/>
        <c:tickLblPos val="nextTo"/>
        <c:crossAx val="686846488"/>
        <c:crosses val="autoZero"/>
        <c:auto val="1"/>
        <c:lblAlgn val="ctr"/>
        <c:lblOffset val="100"/>
        <c:tickLblSkip val="5"/>
        <c:tickMarkSkip val="5"/>
      </c:catAx>
      <c:valAx>
        <c:axId val="686846488"/>
        <c:scaling>
          <c:orientation val="minMax"/>
          <c:min val="5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86780184"/>
        <c:crosses val="autoZero"/>
        <c:crossBetween val="between"/>
      </c:valAx>
    </c:plotArea>
    <c:legend>
      <c:legendPos val="b"/>
      <c:layout>
        <c:manualLayout>
          <c:xMode val="edge"/>
          <c:yMode val="edge"/>
          <c:x val="0.0"/>
          <c:y val="0.857950976466929"/>
          <c:w val="1.0"/>
          <c:h val="0.11493037946527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06977611940298"/>
          <c:y val="0.0509259259259259"/>
          <c:w val="0.751977611940308"/>
          <c:h val="0.734101049868766"/>
        </c:manualLayout>
      </c:layout>
      <c:barChart>
        <c:barDir val="col"/>
        <c:grouping val="stacked"/>
        <c:ser>
          <c:idx val="0"/>
          <c:order val="0"/>
          <c:tx>
            <c:strRef>
              <c:f>'SA STATES - Savings'!$D$654</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Savings'!$R$654,'SA STATES - Savings'!$AB$654)</c:f>
              <c:numCache>
                <c:formatCode>General</c:formatCode>
                <c:ptCount val="2"/>
                <c:pt idx="0">
                  <c:v>66.30016937866118</c:v>
                </c:pt>
                <c:pt idx="1">
                  <c:v>118.9068050168793</c:v>
                </c:pt>
              </c:numCache>
            </c:numRef>
          </c:val>
        </c:ser>
        <c:ser>
          <c:idx val="2"/>
          <c:order val="1"/>
          <c:tx>
            <c:strRef>
              <c:f>'SA STATES - Savings'!$D$657</c:f>
              <c:strCache>
                <c:ptCount val="1"/>
                <c:pt idx="0">
                  <c:v>Natural Gas</c:v>
                </c:pt>
              </c:strCache>
            </c:strRef>
          </c:tx>
          <c:val>
            <c:numRef>
              <c:f>('SA STATES - Savings'!$Q$657,'SA STATES - Savings'!$AA$657)</c:f>
              <c:numCache>
                <c:formatCode>General</c:formatCode>
                <c:ptCount val="2"/>
                <c:pt idx="0">
                  <c:v>11.93411151252636</c:v>
                </c:pt>
                <c:pt idx="1">
                  <c:v>19.6618485134737</c:v>
                </c:pt>
              </c:numCache>
            </c:numRef>
          </c:val>
        </c:ser>
        <c:ser>
          <c:idx val="3"/>
          <c:order val="2"/>
          <c:tx>
            <c:strRef>
              <c:f>'SA STATES - Savings'!$D$679</c:f>
              <c:strCache>
                <c:ptCount val="1"/>
                <c:pt idx="0">
                  <c:v>Others</c:v>
                </c:pt>
              </c:strCache>
            </c:strRef>
          </c:tx>
          <c:spPr>
            <a:solidFill>
              <a:srgbClr val="C0504D"/>
            </a:solidFill>
          </c:spPr>
          <c:val>
            <c:numRef>
              <c:f>('SA STATES - Savings'!$Q$659,'SA STATES - Savings'!$AA$659)</c:f>
              <c:numCache>
                <c:formatCode>General</c:formatCode>
                <c:ptCount val="2"/>
                <c:pt idx="0">
                  <c:v>0.732462750704043</c:v>
                </c:pt>
                <c:pt idx="1">
                  <c:v>-0.19743537206897</c:v>
                </c:pt>
              </c:numCache>
            </c:numRef>
          </c:val>
        </c:ser>
        <c:gapWidth val="50"/>
        <c:overlap val="100"/>
        <c:axId val="635103400"/>
        <c:axId val="687994936"/>
      </c:barChart>
      <c:catAx>
        <c:axId val="63510340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87994936"/>
        <c:crosses val="autoZero"/>
        <c:auto val="1"/>
        <c:lblAlgn val="ctr"/>
        <c:lblOffset val="100"/>
      </c:catAx>
      <c:valAx>
        <c:axId val="687994936"/>
        <c:scaling>
          <c:orientation val="minMax"/>
          <c:max val="18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35103400"/>
        <c:crosses val="autoZero"/>
        <c:crossBetween val="between"/>
        <c:majorUnit val="20.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6177370030581"/>
          <c:y val="0.0497175141242952"/>
          <c:w val="0.711034377583549"/>
          <c:h val="0.691558140294704"/>
        </c:manualLayout>
      </c:layout>
      <c:lineChart>
        <c:grouping val="standard"/>
        <c:ser>
          <c:idx val="0"/>
          <c:order val="0"/>
          <c:tx>
            <c:strRef>
              <c:f>'SA STATES - Savings'!$C$990</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Savings'!$G$990:$AA$990</c:f>
              <c:numCache>
                <c:formatCode>General</c:formatCode>
                <c:ptCount val="21"/>
                <c:pt idx="0">
                  <c:v>601.9834819562415</c:v>
                </c:pt>
                <c:pt idx="1">
                  <c:v>610.5015673373226</c:v>
                </c:pt>
                <c:pt idx="2">
                  <c:v>616.751772526427</c:v>
                </c:pt>
                <c:pt idx="3">
                  <c:v>623.881474626908</c:v>
                </c:pt>
                <c:pt idx="4">
                  <c:v>633.7045629792088</c:v>
                </c:pt>
                <c:pt idx="5">
                  <c:v>644.8212874127136</c:v>
                </c:pt>
                <c:pt idx="6">
                  <c:v>655.9418748495988</c:v>
                </c:pt>
                <c:pt idx="7">
                  <c:v>666.2543848415945</c:v>
                </c:pt>
                <c:pt idx="8">
                  <c:v>676.7643253226336</c:v>
                </c:pt>
                <c:pt idx="9">
                  <c:v>687.437463284198</c:v>
                </c:pt>
                <c:pt idx="10">
                  <c:v>697.9752031032679</c:v>
                </c:pt>
                <c:pt idx="11">
                  <c:v>708.6332196926944</c:v>
                </c:pt>
                <c:pt idx="12">
                  <c:v>720.3762968284774</c:v>
                </c:pt>
                <c:pt idx="13">
                  <c:v>733.2126249759374</c:v>
                </c:pt>
                <c:pt idx="14">
                  <c:v>745.5168010772365</c:v>
                </c:pt>
                <c:pt idx="15">
                  <c:v>758.8714483821884</c:v>
                </c:pt>
                <c:pt idx="16">
                  <c:v>771.9339186397808</c:v>
                </c:pt>
                <c:pt idx="17">
                  <c:v>784.5135118760048</c:v>
                </c:pt>
                <c:pt idx="18">
                  <c:v>796.1068849702735</c:v>
                </c:pt>
                <c:pt idx="19">
                  <c:v>808.0176289891374</c:v>
                </c:pt>
                <c:pt idx="20">
                  <c:v>819.8763353030537</c:v>
                </c:pt>
              </c:numCache>
            </c:numRef>
          </c:val>
        </c:ser>
        <c:ser>
          <c:idx val="1"/>
          <c:order val="1"/>
          <c:tx>
            <c:strRef>
              <c:f>'SA STATES - Savings'!$C$991</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Savings'!$G$991:$AA$991</c:f>
              <c:numCache>
                <c:formatCode>General</c:formatCode>
                <c:ptCount val="21"/>
                <c:pt idx="0">
                  <c:v>588.3225720638644</c:v>
                </c:pt>
                <c:pt idx="1">
                  <c:v>589.6073278538129</c:v>
                </c:pt>
                <c:pt idx="2">
                  <c:v>588.6264506679425</c:v>
                </c:pt>
                <c:pt idx="3">
                  <c:v>588.8547041708226</c:v>
                </c:pt>
                <c:pt idx="4">
                  <c:v>590.7983022076233</c:v>
                </c:pt>
                <c:pt idx="5">
                  <c:v>591.8931205377015</c:v>
                </c:pt>
                <c:pt idx="6">
                  <c:v>593.3275203144987</c:v>
                </c:pt>
                <c:pt idx="7">
                  <c:v>594.9173270066122</c:v>
                </c:pt>
                <c:pt idx="8">
                  <c:v>597.3411050570384</c:v>
                </c:pt>
                <c:pt idx="9">
                  <c:v>600.4105838668415</c:v>
                </c:pt>
                <c:pt idx="10">
                  <c:v>603.2000852842274</c:v>
                </c:pt>
                <c:pt idx="11">
                  <c:v>606.7491090595015</c:v>
                </c:pt>
                <c:pt idx="12">
                  <c:v>610.40378836605</c:v>
                </c:pt>
                <c:pt idx="13">
                  <c:v>615.4875184805301</c:v>
                </c:pt>
                <c:pt idx="14">
                  <c:v>620.0555801346408</c:v>
                </c:pt>
                <c:pt idx="15">
                  <c:v>625.1969780067887</c:v>
                </c:pt>
                <c:pt idx="16">
                  <c:v>630.537350452866</c:v>
                </c:pt>
                <c:pt idx="17">
                  <c:v>635.5425461095829</c:v>
                </c:pt>
                <c:pt idx="18">
                  <c:v>640.3882930310881</c:v>
                </c:pt>
                <c:pt idx="19">
                  <c:v>644.7442821116941</c:v>
                </c:pt>
                <c:pt idx="20">
                  <c:v>648.5732186543248</c:v>
                </c:pt>
              </c:numCache>
            </c:numRef>
          </c:val>
        </c:ser>
        <c:marker val="1"/>
        <c:axId val="533183736"/>
        <c:axId val="619257544"/>
      </c:lineChart>
      <c:catAx>
        <c:axId val="533183736"/>
        <c:scaling>
          <c:orientation val="minMax"/>
        </c:scaling>
        <c:axPos val="b"/>
        <c:numFmt formatCode="General" sourceLinked="1"/>
        <c:tickLblPos val="nextTo"/>
        <c:crossAx val="619257544"/>
        <c:crosses val="autoZero"/>
        <c:auto val="1"/>
        <c:lblAlgn val="ctr"/>
        <c:lblOffset val="100"/>
        <c:tickLblSkip val="5"/>
        <c:tickMarkSkip val="5"/>
      </c:catAx>
      <c:valAx>
        <c:axId val="619257544"/>
        <c:scaling>
          <c:orientation val="minMax"/>
          <c:max val="900.0"/>
          <c:min val="5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3183736"/>
        <c:crosses val="autoZero"/>
        <c:crossBetween val="between"/>
        <c:majorUnit val="50.0"/>
      </c:valAx>
    </c:plotArea>
    <c:legend>
      <c:legendPos val="b"/>
      <c:layout>
        <c:manualLayout>
          <c:xMode val="edge"/>
          <c:yMode val="edge"/>
          <c:x val="0.0"/>
          <c:y val="0.862470750478229"/>
          <c:w val="1.0"/>
          <c:h val="0.11041060545397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2732502396935"/>
          <c:y val="0.0515350097366861"/>
          <c:w val="0.745081495685537"/>
          <c:h val="0.692958864012966"/>
        </c:manualLayout>
      </c:layout>
      <c:barChart>
        <c:barDir val="col"/>
        <c:grouping val="stacked"/>
        <c:ser>
          <c:idx val="0"/>
          <c:order val="0"/>
          <c:tx>
            <c:strRef>
              <c:f>'SA STATES - Savings'!$D$571</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Savings'!$R$571,'SA STATES - Savings'!$AB$571)</c:f>
              <c:numCache>
                <c:formatCode>General</c:formatCode>
                <c:ptCount val="2"/>
                <c:pt idx="0">
                  <c:v>89.45469754376975</c:v>
                </c:pt>
                <c:pt idx="1">
                  <c:v>162.5081878464957</c:v>
                </c:pt>
              </c:numCache>
            </c:numRef>
          </c:val>
        </c:ser>
        <c:ser>
          <c:idx val="2"/>
          <c:order val="1"/>
          <c:tx>
            <c:strRef>
              <c:f>'SA STATES - Savings'!$D$573</c:f>
              <c:strCache>
                <c:ptCount val="1"/>
                <c:pt idx="0">
                  <c:v>Natural Gas</c:v>
                </c:pt>
              </c:strCache>
            </c:strRef>
          </c:tx>
          <c:val>
            <c:numRef>
              <c:f>('SA STATES - Savings'!$Q$573,'SA STATES - Savings'!$AA$573)</c:f>
              <c:numCache>
                <c:formatCode>General</c:formatCode>
                <c:ptCount val="2"/>
                <c:pt idx="0">
                  <c:v>4.457424732586388</c:v>
                </c:pt>
                <c:pt idx="1">
                  <c:v>7.738020042384783</c:v>
                </c:pt>
              </c:numCache>
            </c:numRef>
          </c:val>
        </c:ser>
        <c:ser>
          <c:idx val="3"/>
          <c:order val="2"/>
          <c:tx>
            <c:strRef>
              <c:f>'SA STATES - Savings'!$D$574</c:f>
              <c:strCache>
                <c:ptCount val="1"/>
                <c:pt idx="0">
                  <c:v>Others</c:v>
                </c:pt>
              </c:strCache>
            </c:strRef>
          </c:tx>
          <c:spPr>
            <a:solidFill>
              <a:srgbClr val="C0504D"/>
            </a:solidFill>
          </c:spPr>
          <c:val>
            <c:numRef>
              <c:f>('SA STATES - Savings'!$Q$575,'SA STATES - Savings'!$AA$575)</c:f>
              <c:numCache>
                <c:formatCode>General</c:formatCode>
                <c:ptCount val="2"/>
                <c:pt idx="0">
                  <c:v>0.862995542686834</c:v>
                </c:pt>
                <c:pt idx="1">
                  <c:v>1.056908759852448</c:v>
                </c:pt>
              </c:numCache>
            </c:numRef>
          </c:val>
        </c:ser>
        <c:gapWidth val="50"/>
        <c:overlap val="100"/>
        <c:axId val="533691944"/>
        <c:axId val="551083080"/>
      </c:barChart>
      <c:catAx>
        <c:axId val="53369194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51083080"/>
        <c:crosses val="autoZero"/>
        <c:auto val="1"/>
        <c:lblAlgn val="ctr"/>
        <c:lblOffset val="100"/>
      </c:catAx>
      <c:valAx>
        <c:axId val="551083080"/>
        <c:scaling>
          <c:orientation val="minMax"/>
          <c:max val="18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691944"/>
        <c:crosses val="autoZero"/>
        <c:crossBetween val="between"/>
        <c:majorUnit val="20.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0.17838</cdr:x>
      <cdr:y>0</cdr:y>
    </cdr:from>
    <cdr:to>
      <cdr:x>1</cdr:x>
      <cdr:y>0.83729</cdr:y>
    </cdr:to>
    <cdr:pic>
      <cdr:nvPicPr>
        <cdr:cNvPr id="2" name="Picture 1" descr="North Carolina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44419" y="0"/>
          <a:ext cx="3889506" cy="235267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0.48441</cdr:x>
      <cdr:y>0.5463</cdr:y>
    </cdr:from>
    <cdr:to>
      <cdr:x>0.62745</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0.42296</cdr:x>
      <cdr:y>0.17911</cdr:y>
    </cdr:from>
    <cdr:to>
      <cdr:x>0.6425</cdr:x>
      <cdr:y>0.31012</cdr:y>
    </cdr:to>
    <cdr:sp macro="" textlink="">
      <cdr:nvSpPr>
        <cdr:cNvPr id="2" name="TextBox 1"/>
        <cdr:cNvSpPr txBox="1"/>
      </cdr:nvSpPr>
      <cdr:spPr>
        <a:xfrm xmlns:a="http://schemas.openxmlformats.org/drawingml/2006/main">
          <a:off x="1341568" y="406033"/>
          <a:ext cx="696342" cy="2969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10%</a:t>
          </a:r>
        </a:p>
      </cdr:txBody>
    </cdr:sp>
  </cdr:relSizeAnchor>
  <cdr:relSizeAnchor xmlns:cdr="http://schemas.openxmlformats.org/drawingml/2006/chartDrawing">
    <cdr:from>
      <cdr:x>0.80328</cdr:x>
      <cdr:y>0</cdr:y>
    </cdr:from>
    <cdr:to>
      <cdr:x>0.97898</cdr:x>
      <cdr:y>0.13101</cdr:y>
    </cdr:to>
    <cdr:sp macro="" textlink="">
      <cdr:nvSpPr>
        <cdr:cNvPr id="3" name="TextBox 1"/>
        <cdr:cNvSpPr txBox="1"/>
      </cdr:nvSpPr>
      <cdr:spPr>
        <a:xfrm xmlns:a="http://schemas.openxmlformats.org/drawingml/2006/main">
          <a:off x="2547860" y="0"/>
          <a:ext cx="557290" cy="2969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16%</a:t>
          </a:r>
        </a:p>
      </cdr:txBody>
    </cdr:sp>
  </cdr:relSizeAnchor>
  <cdr:relSizeAnchor xmlns:cdr="http://schemas.openxmlformats.org/drawingml/2006/chartDrawing">
    <cdr:from>
      <cdr:x>0.56431</cdr:x>
      <cdr:y>0.30287</cdr:y>
    </cdr:from>
    <cdr:to>
      <cdr:x>0.56482</cdr:x>
      <cdr:y>0.41632</cdr:y>
    </cdr:to>
    <cdr:sp macro="" textlink="">
      <cdr:nvSpPr>
        <cdr:cNvPr id="8" name="Straight Arrow Connector 7"/>
        <cdr:cNvSpPr/>
      </cdr:nvSpPr>
      <cdr:spPr>
        <a:xfrm xmlns:a="http://schemas.openxmlformats.org/drawingml/2006/main" rot="5400000">
          <a:off x="1789906" y="686593"/>
          <a:ext cx="1589" cy="2571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0.9009</cdr:x>
      <cdr:y>0.09664</cdr:y>
    </cdr:from>
    <cdr:to>
      <cdr:x>0.9039</cdr:x>
      <cdr:y>0.33613</cdr:y>
    </cdr:to>
    <cdr:sp macro="" textlink="">
      <cdr:nvSpPr>
        <cdr:cNvPr id="10" name="Straight Arrow Connector 9"/>
        <cdr:cNvSpPr/>
      </cdr:nvSpPr>
      <cdr:spPr>
        <a:xfrm xmlns:a="http://schemas.openxmlformats.org/drawingml/2006/main" rot="16200000" flipH="1">
          <a:off x="2857500" y="219073"/>
          <a:ext cx="9526" cy="5429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0.45191</cdr:x>
      <cdr:y>0.25658</cdr:y>
    </cdr:from>
    <cdr:to>
      <cdr:x>0.68882</cdr:x>
      <cdr:y>0.38743</cdr:y>
    </cdr:to>
    <cdr:sp macro="" textlink="">
      <cdr:nvSpPr>
        <cdr:cNvPr id="2" name="TextBox 1"/>
        <cdr:cNvSpPr txBox="1"/>
      </cdr:nvSpPr>
      <cdr:spPr>
        <a:xfrm xmlns:a="http://schemas.openxmlformats.org/drawingml/2006/main">
          <a:off x="1407554" y="720960"/>
          <a:ext cx="737898" cy="3676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14%</a:t>
          </a:r>
        </a:p>
      </cdr:txBody>
    </cdr:sp>
  </cdr:relSizeAnchor>
  <cdr:relSizeAnchor xmlns:cdr="http://schemas.openxmlformats.org/drawingml/2006/chartDrawing">
    <cdr:from>
      <cdr:x>0.7753</cdr:x>
      <cdr:y>0.03162</cdr:y>
    </cdr:from>
    <cdr:to>
      <cdr:x>0.97248</cdr:x>
      <cdr:y>0.16247</cdr:y>
    </cdr:to>
    <cdr:sp macro="" textlink="">
      <cdr:nvSpPr>
        <cdr:cNvPr id="3" name="TextBox 1"/>
        <cdr:cNvSpPr txBox="1"/>
      </cdr:nvSpPr>
      <cdr:spPr>
        <a:xfrm xmlns:a="http://schemas.openxmlformats.org/drawingml/2006/main">
          <a:off x="2414798" y="72589"/>
          <a:ext cx="614152" cy="3003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21%</a:t>
          </a:r>
        </a:p>
      </cdr:txBody>
    </cdr:sp>
  </cdr:relSizeAnchor>
  <cdr:relSizeAnchor xmlns:cdr="http://schemas.openxmlformats.org/drawingml/2006/chartDrawing">
    <cdr:from>
      <cdr:x>0.56244</cdr:x>
      <cdr:y>0.41746</cdr:y>
    </cdr:from>
    <cdr:to>
      <cdr:x>0.56295</cdr:x>
      <cdr:y>0.5549</cdr:y>
    </cdr:to>
    <cdr:sp macro="" textlink="">
      <cdr:nvSpPr>
        <cdr:cNvPr id="8" name="Straight Arrow Connector 7"/>
        <cdr:cNvSpPr/>
      </cdr:nvSpPr>
      <cdr:spPr>
        <a:xfrm xmlns:a="http://schemas.openxmlformats.org/drawingml/2006/main" rot="5400000">
          <a:off x="1751806" y="838993"/>
          <a:ext cx="1589" cy="2762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0.90189</cdr:x>
      <cdr:y>0.20419</cdr:y>
    </cdr:from>
    <cdr:to>
      <cdr:x>0.9024</cdr:x>
      <cdr:y>0.48381</cdr:y>
    </cdr:to>
    <cdr:sp macro="" textlink="">
      <cdr:nvSpPr>
        <cdr:cNvPr id="12" name="Straight Arrow Connector 11"/>
        <cdr:cNvSpPr/>
      </cdr:nvSpPr>
      <cdr:spPr>
        <a:xfrm xmlns:a="http://schemas.openxmlformats.org/drawingml/2006/main" rot="5400000">
          <a:off x="2809081" y="410368"/>
          <a:ext cx="1589" cy="5619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0.43385</cdr:x>
      <cdr:y>0.30542</cdr:y>
    </cdr:from>
    <cdr:to>
      <cdr:x>0.64359</cdr:x>
      <cdr:y>0.45464</cdr:y>
    </cdr:to>
    <cdr:sp macro="" textlink="">
      <cdr:nvSpPr>
        <cdr:cNvPr id="2" name="TextBox 1"/>
        <cdr:cNvSpPr txBox="1"/>
      </cdr:nvSpPr>
      <cdr:spPr>
        <a:xfrm xmlns:a="http://schemas.openxmlformats.org/drawingml/2006/main">
          <a:off x="1343025" y="590550"/>
          <a:ext cx="649298" cy="2885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6%</a:t>
          </a:r>
        </a:p>
      </cdr:txBody>
    </cdr:sp>
  </cdr:relSizeAnchor>
  <cdr:relSizeAnchor xmlns:cdr="http://schemas.openxmlformats.org/drawingml/2006/chartDrawing">
    <cdr:from>
      <cdr:x>0.83293</cdr:x>
      <cdr:y>0.21753</cdr:y>
    </cdr:from>
    <cdr:to>
      <cdr:x>1</cdr:x>
      <cdr:y>0.36277</cdr:y>
    </cdr:to>
    <cdr:sp macro="" textlink="">
      <cdr:nvSpPr>
        <cdr:cNvPr id="3" name="TextBox 1"/>
        <cdr:cNvSpPr txBox="1"/>
      </cdr:nvSpPr>
      <cdr:spPr>
        <a:xfrm xmlns:a="http://schemas.openxmlformats.org/drawingml/2006/main">
          <a:off x="2578439" y="420616"/>
          <a:ext cx="517186" cy="2808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7%</a:t>
          </a:r>
        </a:p>
      </cdr:txBody>
    </cdr:sp>
  </cdr:relSizeAnchor>
  <cdr:relSizeAnchor xmlns:cdr="http://schemas.openxmlformats.org/drawingml/2006/chartDrawing">
    <cdr:from>
      <cdr:x>0.56</cdr:x>
      <cdr:y>0.40887</cdr:y>
    </cdr:from>
    <cdr:to>
      <cdr:x>0.56308</cdr:x>
      <cdr:y>0.48768</cdr:y>
    </cdr:to>
    <cdr:sp macro="" textlink="">
      <cdr:nvSpPr>
        <cdr:cNvPr id="8" name="Straight Arrow Connector 7"/>
        <cdr:cNvSpPr/>
      </cdr:nvSpPr>
      <cdr:spPr>
        <a:xfrm xmlns:a="http://schemas.openxmlformats.org/drawingml/2006/main" rot="16200000" flipH="1">
          <a:off x="1733549" y="790574"/>
          <a:ext cx="9526" cy="152401"/>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0.90128</cdr:x>
      <cdr:y>0.36494</cdr:y>
    </cdr:from>
    <cdr:to>
      <cdr:x>0.9018</cdr:x>
      <cdr:y>0.44869</cdr:y>
    </cdr:to>
    <cdr:sp macro="" textlink="">
      <cdr:nvSpPr>
        <cdr:cNvPr id="10" name="Straight Arrow Connector 9"/>
        <cdr:cNvSpPr/>
      </cdr:nvSpPr>
      <cdr:spPr>
        <a:xfrm xmlns:a="http://schemas.openxmlformats.org/drawingml/2006/main" rot="5400000">
          <a:off x="2790031" y="705643"/>
          <a:ext cx="1589" cy="1619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24896-4390-8943-8D6F-D7E2F33C8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2355</Words>
  <Characters>13424</Characters>
  <Application>Microsoft Macintosh Word</Application>
  <DocSecurity>0</DocSecurity>
  <Lines>111</Lines>
  <Paragraphs>26</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2010-04-06T18:01:00Z</cp:lastPrinted>
  <dcterms:created xsi:type="dcterms:W3CDTF">2010-04-13T13:26:00Z</dcterms:created>
  <dcterms:modified xsi:type="dcterms:W3CDTF">2010-04-13T13:26:00Z</dcterms:modified>
</cp:coreProperties>
</file>