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word/footer2.xml" ContentType="application/vnd.openxmlformats-officedocument.wordprocessingml.footer+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header2.xml" ContentType="application/vnd.openxmlformats-officedocument.wordprocessingml.header+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6F" w:rsidRPr="00B43F02" w:rsidRDefault="004E7C48" w:rsidP="00BB536F">
      <w:r>
        <w:rPr>
          <w:noProof/>
          <w:lang w:eastAsia="en-US"/>
        </w:rPr>
        <w:drawing>
          <wp:anchor distT="0" distB="0" distL="114300" distR="114300" simplePos="0" relativeHeight="251659264"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p>
    <w:p w:rsidR="00BB536F" w:rsidRPr="00B43F02" w:rsidRDefault="004E7C48" w:rsidP="00BB536F">
      <w:r>
        <w:rPr>
          <w:noProof/>
          <w:lang w:eastAsia="en-US"/>
        </w:rPr>
        <w:drawing>
          <wp:anchor distT="0" distB="0" distL="114300" distR="114300" simplePos="0" relativeHeight="251660288"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BB536F" w:rsidRPr="00B43F02" w:rsidRDefault="00BB536F" w:rsidP="00BB536F"/>
    <w:p w:rsidR="00BB536F" w:rsidRPr="00B43F02" w:rsidRDefault="00BB536F" w:rsidP="00BB536F"/>
    <w:p w:rsidR="00BB536F" w:rsidRPr="00B43F02" w:rsidRDefault="00BB536F" w:rsidP="00BB536F"/>
    <w:p w:rsidR="00BB536F" w:rsidRPr="00B43F02" w:rsidRDefault="00BB536F" w:rsidP="00BB536F">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BB536F" w:rsidRPr="00B43F02" w:rsidRDefault="00BB536F" w:rsidP="00BB536F">
      <w:pPr>
        <w:spacing w:after="0"/>
        <w:jc w:val="center"/>
        <w:rPr>
          <w:rFonts w:ascii="Arial" w:hAnsi="Arial"/>
          <w:b/>
          <w:sz w:val="32"/>
          <w:szCs w:val="24"/>
        </w:rPr>
      </w:pPr>
      <w:r w:rsidRPr="00B43F02">
        <w:rPr>
          <w:rFonts w:ascii="Arial" w:hAnsi="Arial"/>
          <w:b/>
          <w:sz w:val="32"/>
          <w:szCs w:val="24"/>
        </w:rPr>
        <w:t>APPENDIX G</w:t>
      </w:r>
    </w:p>
    <w:p w:rsidR="00BB536F" w:rsidRPr="00B43F02" w:rsidRDefault="00BB536F" w:rsidP="00BB536F">
      <w:pPr>
        <w:spacing w:after="0"/>
        <w:jc w:val="center"/>
        <w:rPr>
          <w:rFonts w:ascii="Arial" w:hAnsi="Arial"/>
          <w:b/>
          <w:sz w:val="32"/>
          <w:szCs w:val="24"/>
        </w:rPr>
      </w:pPr>
    </w:p>
    <w:p w:rsidR="00BB536F" w:rsidRPr="00B43F02" w:rsidRDefault="00BB536F" w:rsidP="00BB536F">
      <w:pPr>
        <w:spacing w:after="0"/>
        <w:jc w:val="center"/>
        <w:rPr>
          <w:rFonts w:ascii="Arial" w:hAnsi="Arial"/>
          <w:b/>
          <w:sz w:val="32"/>
          <w:szCs w:val="24"/>
        </w:rPr>
      </w:pPr>
    </w:p>
    <w:p w:rsidR="00BB536F" w:rsidRDefault="00BB536F" w:rsidP="00BB536F">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6437A1">
        <w:rPr>
          <w:rFonts w:ascii="Arial" w:hAnsi="Arial"/>
          <w:b/>
          <w:sz w:val="32"/>
          <w:szCs w:val="24"/>
        </w:rPr>
        <w:t>:</w:t>
      </w:r>
    </w:p>
    <w:p w:rsidR="006437A1" w:rsidRPr="00B43F02" w:rsidRDefault="006437A1" w:rsidP="00BB536F">
      <w:pPr>
        <w:spacing w:after="0"/>
        <w:jc w:val="center"/>
        <w:rPr>
          <w:rFonts w:ascii="Arial" w:hAnsi="Arial"/>
          <w:b/>
          <w:sz w:val="32"/>
          <w:szCs w:val="24"/>
        </w:rPr>
      </w:pPr>
      <w:r>
        <w:rPr>
          <w:rFonts w:ascii="Arial" w:hAnsi="Arial"/>
          <w:b/>
          <w:sz w:val="32"/>
          <w:szCs w:val="24"/>
        </w:rPr>
        <w:t>MISSISSIPPI</w:t>
      </w:r>
    </w:p>
    <w:p w:rsidR="00BB536F" w:rsidRPr="00B43F02" w:rsidRDefault="00BB536F" w:rsidP="00BB536F">
      <w:pPr>
        <w:rPr>
          <w:sz w:val="28"/>
        </w:rPr>
      </w:pPr>
    </w:p>
    <w:p w:rsidR="00BB536F" w:rsidRPr="00B43F02" w:rsidRDefault="00BB536F" w:rsidP="00BB536F">
      <w:pPr>
        <w:rPr>
          <w:sz w:val="28"/>
        </w:rPr>
      </w:pPr>
    </w:p>
    <w:p w:rsidR="00BB536F" w:rsidRPr="00B43F02" w:rsidRDefault="00BB536F" w:rsidP="00BB536F">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BB536F" w:rsidRPr="00B43F02" w:rsidRDefault="00BB536F" w:rsidP="00BB536F">
      <w:pPr>
        <w:spacing w:after="0" w:line="360" w:lineRule="auto"/>
        <w:rPr>
          <w:rFonts w:ascii="Century Gothic" w:hAnsi="Century Gothic"/>
          <w:sz w:val="28"/>
        </w:rPr>
      </w:pPr>
    </w:p>
    <w:p w:rsidR="00BB536F" w:rsidRPr="00B43F02" w:rsidRDefault="006437A1" w:rsidP="00BB536F">
      <w:pPr>
        <w:spacing w:after="0"/>
        <w:jc w:val="center"/>
        <w:rPr>
          <w:rFonts w:ascii="Century Gothic" w:hAnsi="Century Gothic"/>
          <w:sz w:val="28"/>
        </w:rPr>
      </w:pPr>
      <w:r>
        <w:rPr>
          <w:rFonts w:ascii="Century Gothic" w:hAnsi="Century Gothic"/>
          <w:sz w:val="28"/>
        </w:rPr>
        <w:t>April</w:t>
      </w:r>
      <w:r w:rsidR="00BB536F" w:rsidRPr="00B43F02">
        <w:rPr>
          <w:rFonts w:ascii="Century Gothic" w:hAnsi="Century Gothic"/>
          <w:sz w:val="28"/>
        </w:rPr>
        <w:t xml:space="preserve"> </w:t>
      </w:r>
      <w:r w:rsidR="00F70AC8">
        <w:rPr>
          <w:rFonts w:ascii="Century Gothic" w:hAnsi="Century Gothic"/>
          <w:sz w:val="28"/>
        </w:rPr>
        <w:t xml:space="preserve">13, </w:t>
      </w:r>
      <w:r w:rsidR="00BB536F" w:rsidRPr="00B43F02">
        <w:rPr>
          <w:rFonts w:ascii="Century Gothic" w:hAnsi="Century Gothic"/>
          <w:sz w:val="28"/>
        </w:rPr>
        <w:t>2010</w:t>
      </w:r>
    </w:p>
    <w:p w:rsidR="00BB536F" w:rsidRPr="00B43F02" w:rsidRDefault="00BB536F" w:rsidP="00BB536F">
      <w:pPr>
        <w:jc w:val="center"/>
        <w:rPr>
          <w:noProof/>
        </w:rPr>
      </w:pPr>
    </w:p>
    <w:p w:rsidR="00BB536F" w:rsidRPr="00B43F02" w:rsidRDefault="00BB536F" w:rsidP="00BB536F">
      <w:pPr>
        <w:jc w:val="center"/>
        <w:rPr>
          <w:noProof/>
        </w:rPr>
      </w:pPr>
    </w:p>
    <w:p w:rsidR="00BB536F" w:rsidRPr="00B43F02" w:rsidRDefault="00BB536F" w:rsidP="00BB536F">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BB536F" w:rsidRPr="00B43F02" w:rsidRDefault="00BB536F" w:rsidP="00BB536F">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C95F18" w:rsidRPr="00FC2EE0" w:rsidRDefault="00C95F18" w:rsidP="00C95F18">
      <w:pPr>
        <w:spacing w:after="0"/>
        <w:jc w:val="center"/>
        <w:rPr>
          <w:rFonts w:ascii="Times" w:hAnsi="Times"/>
          <w:b/>
          <w:color w:val="000000" w:themeColor="text1"/>
          <w:sz w:val="28"/>
          <w:szCs w:val="24"/>
        </w:rPr>
      </w:pPr>
      <w:r w:rsidRPr="00FC2EE0">
        <w:rPr>
          <w:rFonts w:ascii="Times" w:hAnsi="Times"/>
          <w:b/>
          <w:color w:val="000000" w:themeColor="text1"/>
          <w:sz w:val="28"/>
          <w:szCs w:val="24"/>
        </w:rPr>
        <w:t>A Profile of Energy-Efficiency Opportunities in Mississippi</w:t>
      </w:r>
    </w:p>
    <w:p w:rsidR="00CB09C8" w:rsidRPr="00FC2EE0" w:rsidRDefault="00CB09C8" w:rsidP="00075B5F">
      <w:pPr>
        <w:spacing w:after="0"/>
        <w:rPr>
          <w:rFonts w:ascii="Times" w:hAnsi="Times"/>
          <w:color w:val="000000" w:themeColor="text1"/>
          <w:sz w:val="24"/>
          <w:szCs w:val="24"/>
        </w:rPr>
      </w:pPr>
    </w:p>
    <w:p w:rsidR="00C95F18" w:rsidRPr="00FC2EE0" w:rsidRDefault="00C95F18" w:rsidP="00C95F18">
      <w:pPr>
        <w:spacing w:after="0"/>
        <w:rPr>
          <w:rFonts w:ascii="Times New Roman" w:hAnsi="Times New Roman"/>
          <w:color w:val="000000" w:themeColor="text1"/>
          <w:sz w:val="24"/>
          <w:szCs w:val="24"/>
        </w:rPr>
      </w:pPr>
      <w:r w:rsidRPr="00FC2EE0">
        <w:rPr>
          <w:rFonts w:ascii="Times" w:hAnsi="Times"/>
          <w:color w:val="000000" w:themeColor="text1"/>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FC2EE0">
        <w:rPr>
          <w:rFonts w:ascii="Times" w:hAnsi="Times"/>
          <w:color w:val="000000" w:themeColor="text1"/>
          <w:sz w:val="24"/>
          <w:szCs w:val="24"/>
        </w:rPr>
        <w:t xml:space="preserve">policymakers are asking: “how much energy can be saved?” This profile characterizes the opportunity for cost-effective energy-efficiency improvements in the residential, commercial and industrial sectors of Mississippi. It draws on the results of a study of </w:t>
      </w:r>
      <w:r w:rsidRPr="00FC2EE0">
        <w:rPr>
          <w:rFonts w:ascii="Times" w:hAnsi="Times"/>
          <w:i/>
          <w:color w:val="000000" w:themeColor="text1"/>
          <w:sz w:val="24"/>
          <w:szCs w:val="24"/>
        </w:rPr>
        <w:t xml:space="preserve">Energy Efficiency in the South </w:t>
      </w:r>
      <w:r w:rsidRPr="00FC2EE0">
        <w:rPr>
          <w:rFonts w:ascii="Times" w:hAnsi="Times" w:cs="Arial"/>
          <w:color w:val="000000" w:themeColor="text1"/>
          <w:sz w:val="24"/>
        </w:rPr>
        <w:t>conducted by a team of researchers at the Georgia Institute of Technology and Duke University</w:t>
      </w:r>
      <w:r w:rsidRPr="00FC2EE0">
        <w:rPr>
          <w:rFonts w:ascii="Times" w:hAnsi="Times"/>
          <w:i/>
          <w:color w:val="000000" w:themeColor="text1"/>
          <w:sz w:val="24"/>
          <w:szCs w:val="24"/>
        </w:rPr>
        <w:t xml:space="preserve">. </w:t>
      </w:r>
      <w:r w:rsidRPr="00FC2EE0">
        <w:rPr>
          <w:rFonts w:ascii="Times" w:hAnsi="Times"/>
          <w:color w:val="000000" w:themeColor="text1"/>
          <w:sz w:val="24"/>
          <w:szCs w:val="24"/>
        </w:rPr>
        <w:t xml:space="preserve"> The study</w:t>
      </w:r>
      <w:r w:rsidRPr="00FC2EE0">
        <w:rPr>
          <w:rFonts w:ascii="Times" w:hAnsi="Times"/>
          <w:i/>
          <w:color w:val="000000" w:themeColor="text1"/>
          <w:sz w:val="24"/>
          <w:szCs w:val="24"/>
        </w:rPr>
        <w:t xml:space="preserve"> </w:t>
      </w:r>
      <w:r w:rsidRPr="00FC2EE0">
        <w:rPr>
          <w:rFonts w:ascii="Times" w:hAnsi="Times"/>
          <w:color w:val="000000" w:themeColor="text1"/>
          <w:sz w:val="24"/>
          <w:szCs w:val="23"/>
        </w:rPr>
        <w:t>presents primary and in-depth research of the potential for energy-efficiency improvements, using a modeling approach based on the EF-NEMS (National Energy Modeling System</w:t>
      </w:r>
      <w:r w:rsidRPr="00FC2EE0">
        <w:rPr>
          <w:rFonts w:ascii="Times New Roman" w:hAnsi="Times New Roman"/>
          <w:color w:val="000000" w:themeColor="text1"/>
          <w:sz w:val="24"/>
          <w:szCs w:val="23"/>
        </w:rPr>
        <w:t>).</w:t>
      </w:r>
      <w:r w:rsidRPr="00FC2EE0">
        <w:rPr>
          <w:rFonts w:ascii="Times New Roman" w:hAnsi="Times New Roman"/>
          <w:color w:val="000000" w:themeColor="text1"/>
          <w:sz w:val="24"/>
          <w:szCs w:val="23"/>
          <w:vertAlign w:val="superscript"/>
        </w:rPr>
        <w:t>1</w:t>
      </w:r>
    </w:p>
    <w:p w:rsidR="006252C9" w:rsidRPr="00FC2EE0" w:rsidRDefault="006252C9" w:rsidP="00075B5F">
      <w:pPr>
        <w:spacing w:after="0"/>
        <w:rPr>
          <w:rFonts w:ascii="Times" w:hAnsi="Times"/>
          <w:color w:val="000000" w:themeColor="text1"/>
          <w:sz w:val="24"/>
          <w:szCs w:val="24"/>
        </w:rPr>
      </w:pPr>
    </w:p>
    <w:p w:rsidR="00C95F18" w:rsidRPr="00FC2EE0" w:rsidRDefault="00C95F18" w:rsidP="00C95F18">
      <w:pPr>
        <w:spacing w:after="0"/>
        <w:rPr>
          <w:rFonts w:ascii="Times" w:hAnsi="Times"/>
          <w:color w:val="000000" w:themeColor="text1"/>
          <w:sz w:val="24"/>
          <w:szCs w:val="24"/>
        </w:rPr>
      </w:pPr>
      <w:r w:rsidRPr="00FC2EE0">
        <w:rPr>
          <w:rFonts w:ascii="Times" w:hAnsi="Times"/>
          <w:color w:val="000000" w:themeColor="text1"/>
          <w:sz w:val="24"/>
          <w:szCs w:val="24"/>
        </w:rPr>
        <w:t>With a population of 2.9 million people</w:t>
      </w:r>
      <w:r w:rsidRPr="00FC2EE0">
        <w:rPr>
          <w:rFonts w:ascii="Times" w:hAnsi="Times"/>
          <w:color w:val="000000" w:themeColor="text1"/>
          <w:sz w:val="24"/>
          <w:szCs w:val="24"/>
          <w:vertAlign w:val="superscript"/>
        </w:rPr>
        <w:t>2</w:t>
      </w:r>
      <w:r w:rsidRPr="00FC2EE0">
        <w:rPr>
          <w:rFonts w:ascii="Times" w:hAnsi="Times"/>
          <w:color w:val="000000" w:themeColor="text1"/>
          <w:sz w:val="24"/>
          <w:szCs w:val="24"/>
        </w:rPr>
        <w:t>,</w:t>
      </w:r>
      <w:r w:rsidRPr="00FC2EE0">
        <w:rPr>
          <w:rFonts w:ascii="Times New Roman" w:hAnsi="Times New Roman"/>
          <w:color w:val="000000" w:themeColor="text1"/>
          <w:sz w:val="24"/>
          <w:szCs w:val="23"/>
          <w:vertAlign w:val="superscript"/>
        </w:rPr>
        <w:t xml:space="preserve"> </w:t>
      </w:r>
      <w:r w:rsidRPr="00FC2EE0">
        <w:rPr>
          <w:rFonts w:ascii="Times" w:hAnsi="Times"/>
          <w:color w:val="000000" w:themeColor="text1"/>
          <w:sz w:val="24"/>
          <w:szCs w:val="24"/>
        </w:rPr>
        <w:t>the State represents about 1.0% of the U.S. population, 0.6% of the nation’s</w:t>
      </w:r>
      <w:r w:rsidR="006437A1">
        <w:rPr>
          <w:rFonts w:ascii="Times" w:hAnsi="Times"/>
          <w:color w:val="000000" w:themeColor="text1"/>
          <w:sz w:val="24"/>
          <w:szCs w:val="24"/>
        </w:rPr>
        <w:t xml:space="preserve"> Gross Domestic Product (</w:t>
      </w:r>
      <w:r w:rsidRPr="00FC2EE0">
        <w:rPr>
          <w:rFonts w:ascii="Times" w:hAnsi="Times"/>
          <w:color w:val="000000" w:themeColor="text1"/>
          <w:sz w:val="24"/>
          <w:szCs w:val="24"/>
        </w:rPr>
        <w:t>GDP</w:t>
      </w:r>
      <w:r w:rsidR="006437A1">
        <w:rPr>
          <w:rFonts w:ascii="Times" w:hAnsi="Times"/>
          <w:color w:val="000000" w:themeColor="text1"/>
          <w:sz w:val="24"/>
          <w:szCs w:val="24"/>
        </w:rPr>
        <w:t>)</w:t>
      </w:r>
      <w:r w:rsidRPr="00FC2EE0">
        <w:rPr>
          <w:rFonts w:ascii="Times" w:hAnsi="Times"/>
          <w:color w:val="000000" w:themeColor="text1"/>
          <w:sz w:val="24"/>
          <w:szCs w:val="24"/>
        </w:rPr>
        <w:t>, and 3.1% of U.S. energy consumption</w:t>
      </w:r>
      <w:r w:rsidRPr="00FC2EE0">
        <w:rPr>
          <w:rFonts w:ascii="Times New Roman" w:hAnsi="Times New Roman"/>
          <w:color w:val="000000" w:themeColor="text1"/>
          <w:sz w:val="24"/>
          <w:szCs w:val="23"/>
          <w:vertAlign w:val="superscript"/>
        </w:rPr>
        <w:t>3</w:t>
      </w:r>
      <w:r w:rsidRPr="00FC2EE0">
        <w:rPr>
          <w:rFonts w:ascii="Times" w:hAnsi="Times"/>
          <w:color w:val="000000" w:themeColor="text1"/>
          <w:sz w:val="24"/>
          <w:szCs w:val="24"/>
        </w:rPr>
        <w:t xml:space="preserve"> (Figure 1). Thus, compared to the rest of the nation, Mississippi has a higher-than-average level of energy intensity</w:t>
      </w:r>
      <w:r w:rsidR="0071207A">
        <w:rPr>
          <w:rFonts w:ascii="Times" w:hAnsi="Times"/>
          <w:color w:val="000000" w:themeColor="text1"/>
          <w:sz w:val="24"/>
          <w:szCs w:val="24"/>
        </w:rPr>
        <w:t xml:space="preserve"> </w:t>
      </w:r>
      <w:r w:rsidR="0071207A">
        <w:rPr>
          <w:rFonts w:ascii="Times" w:hAnsi="Times"/>
          <w:sz w:val="24"/>
          <w:szCs w:val="24"/>
        </w:rPr>
        <w:t>(that is</w:t>
      </w:r>
      <w:r w:rsidR="0071207A" w:rsidRPr="00707B69">
        <w:rPr>
          <w:rFonts w:ascii="Times" w:hAnsi="Times"/>
          <w:sz w:val="24"/>
          <w:szCs w:val="24"/>
        </w:rPr>
        <w:t xml:space="preserve">, </w:t>
      </w:r>
      <w:r w:rsidR="0071207A">
        <w:rPr>
          <w:rFonts w:ascii="Times" w:hAnsi="Times"/>
          <w:sz w:val="24"/>
          <w:szCs w:val="24"/>
        </w:rPr>
        <w:t xml:space="preserve">it </w:t>
      </w:r>
      <w:r w:rsidR="0071207A" w:rsidRPr="00707B69">
        <w:rPr>
          <w:rFonts w:ascii="Times" w:hAnsi="Times"/>
          <w:sz w:val="24"/>
          <w:szCs w:val="24"/>
        </w:rPr>
        <w:t>consumes more energy per dollar of economic activity</w:t>
      </w:r>
      <w:r w:rsidR="0071207A">
        <w:rPr>
          <w:rFonts w:ascii="Times" w:hAnsi="Times"/>
          <w:sz w:val="24"/>
          <w:szCs w:val="24"/>
        </w:rPr>
        <w:t xml:space="preserve"> than most other states</w:t>
      </w:r>
      <w:r w:rsidR="0071207A" w:rsidRPr="00707B69">
        <w:rPr>
          <w:rFonts w:ascii="Times" w:hAnsi="Times"/>
          <w:sz w:val="24"/>
          <w:szCs w:val="24"/>
        </w:rPr>
        <w:t>)</w:t>
      </w:r>
      <w:r w:rsidR="0071207A">
        <w:rPr>
          <w:rFonts w:ascii="Times" w:hAnsi="Times"/>
          <w:sz w:val="24"/>
          <w:szCs w:val="24"/>
        </w:rPr>
        <w:t>.</w:t>
      </w:r>
    </w:p>
    <w:p w:rsidR="006252C9" w:rsidRPr="00FC2EE0" w:rsidRDefault="006252C9" w:rsidP="00075B5F">
      <w:pPr>
        <w:spacing w:after="0"/>
        <w:rPr>
          <w:rFonts w:ascii="Times" w:hAnsi="Times"/>
          <w:color w:val="000000" w:themeColor="text1"/>
          <w:sz w:val="24"/>
          <w:szCs w:val="24"/>
        </w:rPr>
      </w:pPr>
    </w:p>
    <w:p w:rsidR="00E8326B" w:rsidRPr="00FC2EE0" w:rsidRDefault="00A46673" w:rsidP="00075B5F">
      <w:pPr>
        <w:spacing w:after="0"/>
        <w:rPr>
          <w:rFonts w:ascii="Times" w:hAnsi="Times"/>
          <w:noProof/>
          <w:color w:val="000000" w:themeColor="text1"/>
          <w:sz w:val="24"/>
          <w:szCs w:val="24"/>
          <w:lang w:eastAsia="en-US"/>
        </w:rPr>
      </w:pPr>
      <w:r w:rsidRPr="00FC2EE0">
        <w:rPr>
          <w:rFonts w:ascii="Times" w:hAnsi="Times"/>
          <w:noProof/>
          <w:color w:val="000000" w:themeColor="text1"/>
          <w:sz w:val="24"/>
          <w:szCs w:val="24"/>
          <w:lang w:eastAsia="en-US"/>
        </w:rPr>
        <w:drawing>
          <wp:inline distT="0" distB="0" distL="0" distR="0">
            <wp:extent cx="5943600" cy="1790700"/>
            <wp:effectExtent l="0" t="0" r="0" b="0"/>
            <wp:docPr id="54"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2C9" w:rsidRPr="00FC2EE0" w:rsidRDefault="00FB1B94" w:rsidP="006252C9">
      <w:pPr>
        <w:spacing w:after="0"/>
        <w:jc w:val="center"/>
        <w:rPr>
          <w:rFonts w:ascii="Times" w:hAnsi="Times"/>
          <w:b/>
          <w:noProof/>
          <w:color w:val="000000" w:themeColor="text1"/>
          <w:sz w:val="24"/>
          <w:szCs w:val="24"/>
        </w:rPr>
      </w:pPr>
      <w:r w:rsidRPr="00FC2EE0">
        <w:rPr>
          <w:rFonts w:ascii="Times" w:hAnsi="Times"/>
          <w:b/>
          <w:noProof/>
          <w:color w:val="000000" w:themeColor="text1"/>
          <w:sz w:val="24"/>
          <w:szCs w:val="24"/>
        </w:rPr>
        <w:t xml:space="preserve">Figure 1:  </w:t>
      </w:r>
      <w:r w:rsidR="006252C9" w:rsidRPr="00FC2EE0">
        <w:rPr>
          <w:rFonts w:ascii="Times" w:hAnsi="Times"/>
          <w:b/>
          <w:noProof/>
          <w:color w:val="000000" w:themeColor="text1"/>
          <w:sz w:val="24"/>
          <w:szCs w:val="24"/>
        </w:rPr>
        <w:t>Energy Consumption in Mississippi, the South, and the U.S., 2007</w:t>
      </w:r>
    </w:p>
    <w:p w:rsidR="00E63B8F" w:rsidRPr="00FC2EE0" w:rsidRDefault="00E63B8F" w:rsidP="006252C9">
      <w:pPr>
        <w:spacing w:after="0"/>
        <w:jc w:val="center"/>
        <w:rPr>
          <w:rFonts w:ascii="Times" w:hAnsi="Times"/>
          <w:b/>
          <w:noProof/>
          <w:color w:val="000000" w:themeColor="text1"/>
          <w:sz w:val="24"/>
          <w:szCs w:val="24"/>
        </w:rPr>
      </w:pPr>
    </w:p>
    <w:p w:rsidR="00E63B8F" w:rsidRPr="00FC2EE0" w:rsidRDefault="00E63B8F" w:rsidP="00E63B8F">
      <w:pPr>
        <w:spacing w:after="0"/>
        <w:rPr>
          <w:rFonts w:ascii="Times" w:hAnsi="Times"/>
          <w:color w:val="000000" w:themeColor="text1"/>
          <w:sz w:val="24"/>
          <w:szCs w:val="24"/>
        </w:rPr>
      </w:pPr>
      <w:r w:rsidRPr="00FC2EE0">
        <w:rPr>
          <w:rFonts w:ascii="Times" w:hAnsi="Times"/>
          <w:color w:val="000000" w:themeColor="text1"/>
          <w:sz w:val="24"/>
          <w:szCs w:val="24"/>
        </w:rPr>
        <w:t xml:space="preserve">Mississippi’s consumption of transportation energy as a percentage of its overall energy </w:t>
      </w:r>
      <w:r w:rsidR="005408CC">
        <w:rPr>
          <w:rFonts w:ascii="Times" w:eastAsia="Batang" w:hAnsi="Times" w:hint="eastAsia"/>
          <w:color w:val="000000" w:themeColor="text1"/>
          <w:sz w:val="24"/>
          <w:szCs w:val="24"/>
          <w:lang w:eastAsia="ko-KR"/>
        </w:rPr>
        <w:t>use</w:t>
      </w:r>
      <w:r w:rsidRPr="00FC2EE0">
        <w:rPr>
          <w:rFonts w:ascii="Times" w:hAnsi="Times"/>
          <w:color w:val="000000" w:themeColor="text1"/>
          <w:sz w:val="24"/>
          <w:szCs w:val="24"/>
        </w:rPr>
        <w:t xml:space="preserve"> exceeds that of the nation and the rest of the South</w:t>
      </w:r>
      <w:r w:rsidR="00BE52B8" w:rsidRPr="00FC2EE0">
        <w:rPr>
          <w:rFonts w:ascii="Times" w:hAnsi="Times"/>
          <w:color w:val="000000" w:themeColor="text1"/>
          <w:sz w:val="24"/>
          <w:szCs w:val="24"/>
        </w:rPr>
        <w:t xml:space="preserve">, whereas </w:t>
      </w:r>
      <w:r w:rsidR="007457A8" w:rsidRPr="00FC2EE0">
        <w:rPr>
          <w:rFonts w:ascii="Times" w:hAnsi="Times"/>
          <w:color w:val="000000" w:themeColor="text1"/>
          <w:sz w:val="24"/>
          <w:szCs w:val="24"/>
        </w:rPr>
        <w:t>the state’</w:t>
      </w:r>
      <w:r w:rsidR="00BE52B8" w:rsidRPr="00FC2EE0">
        <w:rPr>
          <w:rFonts w:ascii="Times" w:hAnsi="Times"/>
          <w:color w:val="000000" w:themeColor="text1"/>
          <w:sz w:val="24"/>
          <w:szCs w:val="24"/>
        </w:rPr>
        <w:t>s residential and commercial energy consumption is lower</w:t>
      </w:r>
      <w:r w:rsidR="007457A8" w:rsidRPr="00FC2EE0">
        <w:rPr>
          <w:rFonts w:ascii="Times" w:hAnsi="Times"/>
          <w:color w:val="000000" w:themeColor="text1"/>
          <w:sz w:val="24"/>
          <w:szCs w:val="24"/>
        </w:rPr>
        <w:t xml:space="preserve">. </w:t>
      </w:r>
      <w:r w:rsidRPr="00FC2EE0">
        <w:rPr>
          <w:rFonts w:ascii="Times" w:hAnsi="Times"/>
          <w:color w:val="000000" w:themeColor="text1"/>
          <w:sz w:val="24"/>
          <w:szCs w:val="24"/>
        </w:rPr>
        <w:t>The transportation and industrial sectors account for nearly 70% of the state’</w:t>
      </w:r>
      <w:r w:rsidR="00BE52B8" w:rsidRPr="00FC2EE0">
        <w:rPr>
          <w:rFonts w:ascii="Times" w:hAnsi="Times"/>
          <w:color w:val="000000" w:themeColor="text1"/>
          <w:sz w:val="24"/>
          <w:szCs w:val="24"/>
        </w:rPr>
        <w:t xml:space="preserve">s energy consumption </w:t>
      </w:r>
      <w:r w:rsidRPr="00FC2EE0">
        <w:rPr>
          <w:rFonts w:ascii="Times" w:hAnsi="Times"/>
          <w:color w:val="000000" w:themeColor="text1"/>
          <w:sz w:val="24"/>
          <w:szCs w:val="24"/>
        </w:rPr>
        <w:t xml:space="preserve">(Figure 2).  </w:t>
      </w:r>
    </w:p>
    <w:p w:rsidR="00E63B8F" w:rsidRPr="00FC2EE0" w:rsidRDefault="00E63B8F" w:rsidP="00E63B8F">
      <w:pPr>
        <w:spacing w:after="0"/>
        <w:rPr>
          <w:rFonts w:ascii="Times" w:hAnsi="Times"/>
          <w:color w:val="000000" w:themeColor="text1"/>
          <w:sz w:val="24"/>
          <w:szCs w:val="24"/>
        </w:rPr>
      </w:pPr>
    </w:p>
    <w:p w:rsidR="00E63B8F" w:rsidRPr="00FC2EE0" w:rsidRDefault="00E63B8F" w:rsidP="00E63B8F">
      <w:pPr>
        <w:spacing w:after="0"/>
        <w:rPr>
          <w:rFonts w:ascii="Times" w:hAnsi="Times"/>
          <w:b/>
          <w:color w:val="000000" w:themeColor="text1"/>
          <w:sz w:val="24"/>
          <w:szCs w:val="24"/>
        </w:rPr>
      </w:pPr>
      <w:r w:rsidRPr="00FC2EE0">
        <w:rPr>
          <w:rFonts w:ascii="Times" w:hAnsi="Times"/>
          <w:color w:val="000000" w:themeColor="text1"/>
          <w:sz w:val="24"/>
          <w:szCs w:val="24"/>
        </w:rPr>
        <w:t xml:space="preserve">Mississippi consumes </w:t>
      </w:r>
      <w:r w:rsidR="007B0AF8">
        <w:rPr>
          <w:rFonts w:ascii="Times" w:hAnsi="Times"/>
          <w:color w:val="000000" w:themeColor="text1"/>
          <w:sz w:val="24"/>
          <w:szCs w:val="24"/>
        </w:rPr>
        <w:t xml:space="preserve">proportionally </w:t>
      </w:r>
      <w:r w:rsidRPr="00FC2EE0">
        <w:rPr>
          <w:rFonts w:ascii="Times" w:hAnsi="Times"/>
          <w:color w:val="000000" w:themeColor="text1"/>
          <w:sz w:val="24"/>
          <w:szCs w:val="24"/>
        </w:rPr>
        <w:t xml:space="preserve">more natural gas than </w:t>
      </w:r>
      <w:r w:rsidR="005307BF" w:rsidRPr="00FC2EE0">
        <w:rPr>
          <w:rFonts w:ascii="Times" w:hAnsi="Times"/>
          <w:color w:val="000000" w:themeColor="text1"/>
          <w:sz w:val="24"/>
          <w:szCs w:val="24"/>
        </w:rPr>
        <w:t xml:space="preserve">the nation and </w:t>
      </w:r>
      <w:r w:rsidRPr="00FC2EE0">
        <w:rPr>
          <w:rFonts w:ascii="Times" w:hAnsi="Times"/>
          <w:color w:val="000000" w:themeColor="text1"/>
          <w:sz w:val="24"/>
          <w:szCs w:val="24"/>
        </w:rPr>
        <w:t>other states in the South.</w:t>
      </w:r>
      <w:r w:rsidR="007457A8" w:rsidRPr="00FC2EE0">
        <w:rPr>
          <w:rFonts w:ascii="Times" w:hAnsi="Times"/>
          <w:color w:val="000000" w:themeColor="text1"/>
          <w:sz w:val="24"/>
          <w:szCs w:val="24"/>
        </w:rPr>
        <w:t xml:space="preserve"> </w:t>
      </w:r>
      <w:r w:rsidRPr="00FC2EE0">
        <w:rPr>
          <w:rFonts w:ascii="Times" w:hAnsi="Times"/>
          <w:color w:val="000000" w:themeColor="text1"/>
          <w:sz w:val="24"/>
          <w:szCs w:val="24"/>
        </w:rPr>
        <w:t>On the other hand, it consumes relatively less coal and nuclear (Figure 3).</w:t>
      </w:r>
      <w:r w:rsidR="00BE52B8" w:rsidRPr="00FC2EE0">
        <w:rPr>
          <w:rFonts w:ascii="Times" w:hAnsi="Times"/>
          <w:color w:val="000000" w:themeColor="text1"/>
          <w:sz w:val="24"/>
          <w:szCs w:val="24"/>
        </w:rPr>
        <w:t xml:space="preserve"> The </w:t>
      </w:r>
      <w:r w:rsidR="007457A8" w:rsidRPr="00FC2EE0">
        <w:rPr>
          <w:rFonts w:ascii="Times" w:hAnsi="Times"/>
          <w:color w:val="000000" w:themeColor="text1"/>
          <w:sz w:val="24"/>
          <w:szCs w:val="24"/>
        </w:rPr>
        <w:t>state produces a small</w:t>
      </w:r>
      <w:r w:rsidR="00676579" w:rsidRPr="00FC2EE0">
        <w:rPr>
          <w:rFonts w:ascii="Times" w:hAnsi="Times"/>
          <w:color w:val="000000" w:themeColor="text1"/>
          <w:sz w:val="24"/>
          <w:szCs w:val="24"/>
        </w:rPr>
        <w:t xml:space="preserve"> portion</w:t>
      </w:r>
      <w:r w:rsidR="00BE52B8" w:rsidRPr="00FC2EE0">
        <w:rPr>
          <w:rFonts w:ascii="Times" w:hAnsi="Times"/>
          <w:color w:val="000000" w:themeColor="text1"/>
          <w:sz w:val="24"/>
          <w:szCs w:val="24"/>
        </w:rPr>
        <w:t xml:space="preserve"> of </w:t>
      </w:r>
      <w:r w:rsidR="00676579" w:rsidRPr="00FC2EE0">
        <w:rPr>
          <w:rFonts w:ascii="Times" w:hAnsi="Times"/>
          <w:color w:val="000000" w:themeColor="text1"/>
          <w:sz w:val="24"/>
          <w:szCs w:val="24"/>
        </w:rPr>
        <w:t xml:space="preserve">the </w:t>
      </w:r>
      <w:r w:rsidR="00BE52B8" w:rsidRPr="00FC2EE0">
        <w:rPr>
          <w:rFonts w:ascii="Times" w:hAnsi="Times"/>
          <w:color w:val="000000" w:themeColor="text1"/>
          <w:sz w:val="24"/>
          <w:szCs w:val="24"/>
        </w:rPr>
        <w:t>natural gas</w:t>
      </w:r>
      <w:r w:rsidR="00676579" w:rsidRPr="00FC2EE0">
        <w:rPr>
          <w:rFonts w:ascii="Times" w:hAnsi="Times"/>
          <w:color w:val="000000" w:themeColor="text1"/>
          <w:sz w:val="24"/>
          <w:szCs w:val="24"/>
        </w:rPr>
        <w:t xml:space="preserve"> consumed in the state</w:t>
      </w:r>
      <w:r w:rsidR="00BE52B8" w:rsidRPr="00FC2EE0">
        <w:rPr>
          <w:rFonts w:ascii="Times" w:hAnsi="Times"/>
          <w:color w:val="000000" w:themeColor="text1"/>
          <w:sz w:val="24"/>
          <w:szCs w:val="24"/>
        </w:rPr>
        <w:t>, but has one of the largest natural gas processing plants in the U.S.</w:t>
      </w:r>
      <w:r w:rsidR="007B0AF8">
        <w:rPr>
          <w:rFonts w:ascii="Times" w:hAnsi="Times"/>
          <w:color w:val="000000" w:themeColor="text1"/>
          <w:sz w:val="24"/>
          <w:szCs w:val="24"/>
        </w:rPr>
        <w:t>,</w:t>
      </w:r>
      <w:r w:rsidR="00BE52B8" w:rsidRPr="00FC2EE0">
        <w:rPr>
          <w:rFonts w:ascii="Times" w:hAnsi="Times"/>
          <w:color w:val="000000" w:themeColor="text1"/>
          <w:sz w:val="24"/>
          <w:szCs w:val="24"/>
        </w:rPr>
        <w:t xml:space="preserve"> which serves the growing offshore supplies brought in from federally administered wells on the outer continental shelf.</w:t>
      </w:r>
      <w:r w:rsidR="007457A8" w:rsidRPr="00FC2EE0">
        <w:rPr>
          <w:rFonts w:ascii="Times New Roman" w:hAnsi="Times New Roman"/>
          <w:color w:val="000000" w:themeColor="text1"/>
          <w:sz w:val="24"/>
          <w:szCs w:val="23"/>
          <w:vertAlign w:val="superscript"/>
        </w:rPr>
        <w:t xml:space="preserve"> 4, 5</w:t>
      </w:r>
    </w:p>
    <w:p w:rsidR="00E63B8F" w:rsidRPr="00FC2EE0" w:rsidRDefault="00E63B8F" w:rsidP="006252C9">
      <w:pPr>
        <w:spacing w:after="0"/>
        <w:jc w:val="center"/>
        <w:rPr>
          <w:rFonts w:ascii="Times" w:hAnsi="Times"/>
          <w:b/>
          <w:noProof/>
          <w:color w:val="000000" w:themeColor="text1"/>
          <w:sz w:val="24"/>
          <w:szCs w:val="24"/>
        </w:rPr>
      </w:pPr>
    </w:p>
    <w:p w:rsidR="00FB1B94" w:rsidRPr="00FC2EE0" w:rsidRDefault="00FB1B94" w:rsidP="00075B5F">
      <w:pPr>
        <w:spacing w:after="0"/>
        <w:jc w:val="center"/>
        <w:rPr>
          <w:rFonts w:ascii="Times" w:hAnsi="Times"/>
          <w:b/>
          <w:noProof/>
          <w:color w:val="000000" w:themeColor="text1"/>
          <w:sz w:val="24"/>
          <w:szCs w:val="24"/>
        </w:rPr>
      </w:pPr>
    </w:p>
    <w:p w:rsidR="00DC0660" w:rsidRPr="00FC2EE0" w:rsidRDefault="00DC0660" w:rsidP="00DC0660">
      <w:pPr>
        <w:spacing w:after="0"/>
        <w:jc w:val="center"/>
        <w:rPr>
          <w:rFonts w:ascii="Times" w:hAnsi="Times"/>
          <w:b/>
          <w:noProof/>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6057900" cy="2425700"/>
            <wp:effectExtent l="25400" t="0" r="0" b="0"/>
            <wp:docPr id="3"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3801" w:rsidRDefault="00D43801" w:rsidP="00DC0660">
      <w:pPr>
        <w:spacing w:after="0"/>
        <w:jc w:val="center"/>
        <w:rPr>
          <w:rFonts w:ascii="Times" w:hAnsi="Times"/>
          <w:b/>
          <w:noProof/>
          <w:color w:val="000000" w:themeColor="text1"/>
          <w:sz w:val="24"/>
          <w:szCs w:val="24"/>
        </w:rPr>
      </w:pPr>
    </w:p>
    <w:p w:rsidR="00DC0660" w:rsidRPr="00FC2EE0" w:rsidRDefault="00DC0660" w:rsidP="00DC0660">
      <w:pPr>
        <w:spacing w:after="0"/>
        <w:jc w:val="center"/>
        <w:rPr>
          <w:rFonts w:ascii="Times" w:hAnsi="Times"/>
          <w:b/>
          <w:color w:val="000000" w:themeColor="text1"/>
          <w:sz w:val="24"/>
          <w:szCs w:val="24"/>
        </w:rPr>
      </w:pPr>
      <w:r w:rsidRPr="00FC2EE0">
        <w:rPr>
          <w:rFonts w:ascii="Times" w:hAnsi="Times"/>
          <w:b/>
          <w:noProof/>
          <w:color w:val="000000" w:themeColor="text1"/>
          <w:sz w:val="24"/>
          <w:szCs w:val="24"/>
        </w:rPr>
        <w:t>Figure 2:  Energy Consumption in Mississippi, the South, and the U.S. by Sector, 2007</w:t>
      </w:r>
    </w:p>
    <w:p w:rsidR="00167D9E" w:rsidRPr="00FC2EE0" w:rsidRDefault="00167D9E" w:rsidP="00075B5F">
      <w:pPr>
        <w:spacing w:after="0"/>
        <w:jc w:val="center"/>
        <w:rPr>
          <w:rFonts w:ascii="Times" w:hAnsi="Times"/>
          <w:b/>
          <w:noProof/>
          <w:color w:val="000000" w:themeColor="text1"/>
          <w:sz w:val="24"/>
          <w:szCs w:val="24"/>
        </w:rPr>
      </w:pPr>
    </w:p>
    <w:p w:rsidR="00C10EBE" w:rsidRPr="00FC2EE0" w:rsidRDefault="00A46673" w:rsidP="00075B5F">
      <w:pPr>
        <w:spacing w:after="0"/>
        <w:rPr>
          <w:rFonts w:ascii="Times" w:hAnsi="Times"/>
          <w:color w:val="000000" w:themeColor="text1"/>
          <w:sz w:val="24"/>
          <w:szCs w:val="24"/>
        </w:rPr>
      </w:pPr>
      <w:r w:rsidRPr="00FC2EE0">
        <w:rPr>
          <w:rFonts w:ascii="Times" w:hAnsi="Times"/>
          <w:noProof/>
          <w:color w:val="000000" w:themeColor="text1"/>
          <w:sz w:val="24"/>
          <w:szCs w:val="24"/>
          <w:lang w:eastAsia="en-US"/>
        </w:rPr>
        <w:drawing>
          <wp:inline distT="0" distB="0" distL="0" distR="0">
            <wp:extent cx="6311900" cy="2387600"/>
            <wp:effectExtent l="25400" t="0" r="0" b="0"/>
            <wp:docPr id="56"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3801" w:rsidRDefault="00D43801" w:rsidP="00075B5F">
      <w:pPr>
        <w:spacing w:after="0"/>
        <w:jc w:val="center"/>
        <w:rPr>
          <w:rFonts w:ascii="Times" w:hAnsi="Times"/>
          <w:b/>
          <w:noProof/>
          <w:color w:val="000000" w:themeColor="text1"/>
          <w:sz w:val="24"/>
          <w:szCs w:val="24"/>
        </w:rPr>
      </w:pPr>
    </w:p>
    <w:p w:rsidR="00FB1B94" w:rsidRPr="00FC2EE0" w:rsidRDefault="00FB1B94" w:rsidP="00075B5F">
      <w:pPr>
        <w:spacing w:after="0"/>
        <w:jc w:val="center"/>
        <w:rPr>
          <w:rFonts w:ascii="Times" w:hAnsi="Times"/>
          <w:b/>
          <w:noProof/>
          <w:color w:val="000000" w:themeColor="text1"/>
          <w:sz w:val="24"/>
          <w:szCs w:val="24"/>
        </w:rPr>
      </w:pPr>
      <w:r w:rsidRPr="00FC2EE0">
        <w:rPr>
          <w:rFonts w:ascii="Times" w:hAnsi="Times"/>
          <w:b/>
          <w:noProof/>
          <w:color w:val="000000" w:themeColor="text1"/>
          <w:sz w:val="24"/>
          <w:szCs w:val="24"/>
        </w:rPr>
        <w:t xml:space="preserve">Figure 3:  </w:t>
      </w:r>
      <w:r w:rsidR="006252C9" w:rsidRPr="00FC2EE0">
        <w:rPr>
          <w:rFonts w:ascii="Times" w:hAnsi="Times"/>
          <w:b/>
          <w:noProof/>
          <w:color w:val="000000" w:themeColor="text1"/>
          <w:sz w:val="24"/>
          <w:szCs w:val="24"/>
        </w:rPr>
        <w:t xml:space="preserve">Energy Consumption in Mississippi, the South, and the U.S. </w:t>
      </w:r>
      <w:r w:rsidR="00342238" w:rsidRPr="00FC2EE0">
        <w:rPr>
          <w:rFonts w:ascii="Times" w:hAnsi="Times"/>
          <w:b/>
          <w:noProof/>
          <w:color w:val="000000" w:themeColor="text1"/>
          <w:sz w:val="24"/>
          <w:szCs w:val="24"/>
        </w:rPr>
        <w:t>by Fuel</w:t>
      </w:r>
      <w:r w:rsidR="006252C9" w:rsidRPr="00FC2EE0">
        <w:rPr>
          <w:rFonts w:ascii="Times" w:hAnsi="Times"/>
          <w:b/>
          <w:noProof/>
          <w:color w:val="000000" w:themeColor="text1"/>
          <w:sz w:val="24"/>
          <w:szCs w:val="24"/>
        </w:rPr>
        <w:t>, 2007</w:t>
      </w:r>
    </w:p>
    <w:p w:rsidR="00342238" w:rsidRPr="00FC2EE0" w:rsidRDefault="00342238" w:rsidP="00075B5F">
      <w:pPr>
        <w:spacing w:after="0"/>
        <w:jc w:val="center"/>
        <w:rPr>
          <w:rFonts w:ascii="Times" w:hAnsi="Times"/>
          <w:b/>
          <w:color w:val="000000" w:themeColor="text1"/>
          <w:sz w:val="24"/>
          <w:szCs w:val="24"/>
        </w:rPr>
      </w:pPr>
    </w:p>
    <w:p w:rsidR="00A63267" w:rsidRPr="00FC2EE0" w:rsidRDefault="002C3E25" w:rsidP="00342238">
      <w:pPr>
        <w:spacing w:after="0"/>
        <w:rPr>
          <w:rFonts w:ascii="Times" w:hAnsi="Times"/>
          <w:color w:val="000000" w:themeColor="text1"/>
          <w:sz w:val="24"/>
          <w:szCs w:val="24"/>
        </w:rPr>
      </w:pPr>
      <w:r w:rsidRPr="00FC2EE0">
        <w:rPr>
          <w:rFonts w:ascii="Times" w:hAnsi="Times"/>
          <w:color w:val="000000" w:themeColor="text1"/>
          <w:sz w:val="24"/>
          <w:szCs w:val="24"/>
        </w:rPr>
        <w:t xml:space="preserve">Mississippi already has a number of energy efficiency policies in place. </w:t>
      </w:r>
      <w:r w:rsidR="007B0AF8">
        <w:rPr>
          <w:rFonts w:ascii="Times" w:hAnsi="Times"/>
          <w:color w:val="000000" w:themeColor="text1"/>
          <w:sz w:val="24"/>
          <w:szCs w:val="24"/>
        </w:rPr>
        <w:t>For example, t</w:t>
      </w:r>
      <w:r w:rsidR="00676579" w:rsidRPr="00FC2EE0">
        <w:rPr>
          <w:rFonts w:ascii="Times" w:hAnsi="Times"/>
          <w:color w:val="000000" w:themeColor="text1"/>
          <w:sz w:val="24"/>
          <w:szCs w:val="24"/>
        </w:rPr>
        <w:t xml:space="preserve">he State </w:t>
      </w:r>
      <w:r w:rsidR="00D43801">
        <w:rPr>
          <w:rFonts w:ascii="Times" w:hAnsi="Times"/>
          <w:color w:val="000000" w:themeColor="text1"/>
          <w:sz w:val="24"/>
          <w:szCs w:val="24"/>
        </w:rPr>
        <w:t>E</w:t>
      </w:r>
      <w:r w:rsidR="00676579" w:rsidRPr="00FC2EE0">
        <w:rPr>
          <w:rFonts w:ascii="Times" w:hAnsi="Times"/>
          <w:color w:val="000000" w:themeColor="text1"/>
          <w:sz w:val="24"/>
          <w:szCs w:val="24"/>
        </w:rPr>
        <w:t xml:space="preserve">nergy Management Law amended in 1998 </w:t>
      </w:r>
      <w:r w:rsidR="005B6CA5" w:rsidRPr="00FC2EE0">
        <w:rPr>
          <w:rFonts w:ascii="Times" w:hAnsi="Times"/>
          <w:color w:val="000000" w:themeColor="text1"/>
          <w:sz w:val="24"/>
          <w:szCs w:val="24"/>
        </w:rPr>
        <w:t>promotes</w:t>
      </w:r>
      <w:r w:rsidR="00A63267" w:rsidRPr="00FC2EE0">
        <w:rPr>
          <w:rFonts w:ascii="Times" w:hAnsi="Times"/>
          <w:color w:val="000000" w:themeColor="text1"/>
          <w:sz w:val="24"/>
          <w:szCs w:val="24"/>
        </w:rPr>
        <w:t xml:space="preserve"> development and implementation of a state energy management plan </w:t>
      </w:r>
      <w:r w:rsidR="00676579" w:rsidRPr="00FC2EE0">
        <w:rPr>
          <w:rFonts w:ascii="Times" w:hAnsi="Times"/>
          <w:color w:val="000000" w:themeColor="text1"/>
          <w:sz w:val="24"/>
          <w:szCs w:val="24"/>
        </w:rPr>
        <w:t xml:space="preserve">pertaining to all </w:t>
      </w:r>
      <w:r w:rsidR="00A63267" w:rsidRPr="00FC2EE0">
        <w:rPr>
          <w:rFonts w:ascii="Times" w:hAnsi="Times"/>
          <w:color w:val="000000" w:themeColor="text1"/>
          <w:sz w:val="24"/>
          <w:szCs w:val="24"/>
        </w:rPr>
        <w:t xml:space="preserve">buildings and facilities owned or leased by the State. In the industrial sector, energy assessment centers funded by the U.S. Department of Energy </w:t>
      </w:r>
      <w:r w:rsidR="005B6CA5" w:rsidRPr="00FC2EE0">
        <w:rPr>
          <w:rFonts w:ascii="Times" w:hAnsi="Times"/>
          <w:color w:val="000000" w:themeColor="text1"/>
          <w:sz w:val="24"/>
          <w:szCs w:val="24"/>
        </w:rPr>
        <w:t>conduct energy</w:t>
      </w:r>
      <w:r w:rsidR="00A63267" w:rsidRPr="00FC2EE0">
        <w:rPr>
          <w:rFonts w:ascii="Times" w:hAnsi="Times"/>
          <w:color w:val="000000" w:themeColor="text1"/>
          <w:sz w:val="24"/>
          <w:szCs w:val="24"/>
        </w:rPr>
        <w:t xml:space="preserve"> audit</w:t>
      </w:r>
      <w:r w:rsidR="005B6CA5" w:rsidRPr="00FC2EE0">
        <w:rPr>
          <w:rFonts w:ascii="Times" w:hAnsi="Times"/>
          <w:color w:val="000000" w:themeColor="text1"/>
          <w:sz w:val="24"/>
          <w:szCs w:val="24"/>
        </w:rPr>
        <w:t>s for</w:t>
      </w:r>
      <w:r w:rsidR="00A63267" w:rsidRPr="00FC2EE0">
        <w:rPr>
          <w:rFonts w:ascii="Times" w:hAnsi="Times"/>
          <w:color w:val="000000" w:themeColor="text1"/>
          <w:sz w:val="24"/>
          <w:szCs w:val="24"/>
        </w:rPr>
        <w:t xml:space="preserve"> manufactures and small businesses</w:t>
      </w:r>
      <w:r w:rsidR="005B6CA5" w:rsidRPr="00FC2EE0">
        <w:rPr>
          <w:rFonts w:ascii="Times" w:hAnsi="Times"/>
          <w:color w:val="000000" w:themeColor="text1"/>
          <w:sz w:val="24"/>
          <w:szCs w:val="24"/>
        </w:rPr>
        <w:t xml:space="preserve"> and provide consultancy services for reducing energy consumption in the production processes. In the residential sector, a weatherization assistance program provides </w:t>
      </w:r>
      <w:r w:rsidR="007B0AF8">
        <w:rPr>
          <w:rFonts w:ascii="Times" w:hAnsi="Times"/>
          <w:color w:val="000000" w:themeColor="text1"/>
          <w:sz w:val="24"/>
          <w:szCs w:val="24"/>
        </w:rPr>
        <w:t>funds</w:t>
      </w:r>
      <w:r w:rsidR="005B6CA5" w:rsidRPr="00FC2EE0">
        <w:rPr>
          <w:rFonts w:ascii="Times" w:hAnsi="Times"/>
          <w:color w:val="000000" w:themeColor="text1"/>
          <w:sz w:val="24"/>
          <w:szCs w:val="24"/>
        </w:rPr>
        <w:t xml:space="preserve"> </w:t>
      </w:r>
      <w:r w:rsidR="007B0AF8">
        <w:rPr>
          <w:rFonts w:ascii="Times" w:hAnsi="Times"/>
          <w:color w:val="000000" w:themeColor="text1"/>
          <w:sz w:val="24"/>
          <w:szCs w:val="24"/>
        </w:rPr>
        <w:t>for</w:t>
      </w:r>
      <w:r w:rsidR="005B6CA5" w:rsidRPr="00FC2EE0">
        <w:rPr>
          <w:rFonts w:ascii="Times" w:hAnsi="Times"/>
          <w:color w:val="000000" w:themeColor="text1"/>
          <w:sz w:val="24"/>
          <w:szCs w:val="24"/>
        </w:rPr>
        <w:t xml:space="preserve"> insulating low-income households and training for 18 community action agencies that </w:t>
      </w:r>
      <w:r w:rsidR="00D43801">
        <w:rPr>
          <w:rFonts w:ascii="Times" w:hAnsi="Times"/>
          <w:color w:val="000000" w:themeColor="text1"/>
          <w:sz w:val="24"/>
          <w:szCs w:val="24"/>
        </w:rPr>
        <w:t>implement</w:t>
      </w:r>
      <w:r w:rsidR="00D43801" w:rsidRPr="00FC2EE0">
        <w:rPr>
          <w:rFonts w:ascii="Times" w:hAnsi="Times"/>
          <w:color w:val="000000" w:themeColor="text1"/>
          <w:sz w:val="24"/>
          <w:szCs w:val="24"/>
        </w:rPr>
        <w:t xml:space="preserve"> </w:t>
      </w:r>
      <w:r w:rsidR="005B6CA5" w:rsidRPr="00FC2EE0">
        <w:rPr>
          <w:rFonts w:ascii="Times" w:hAnsi="Times"/>
          <w:color w:val="000000" w:themeColor="text1"/>
          <w:sz w:val="24"/>
          <w:szCs w:val="24"/>
        </w:rPr>
        <w:t>the weatherization</w:t>
      </w:r>
      <w:r w:rsidR="00D43801">
        <w:rPr>
          <w:rFonts w:ascii="Times" w:hAnsi="Times"/>
          <w:color w:val="000000" w:themeColor="text1"/>
          <w:sz w:val="24"/>
          <w:szCs w:val="24"/>
        </w:rPr>
        <w:t xml:space="preserve"> program</w:t>
      </w:r>
      <w:r w:rsidR="005B6CA5" w:rsidRPr="00FC2EE0">
        <w:rPr>
          <w:rFonts w:ascii="Times" w:hAnsi="Times"/>
          <w:color w:val="000000" w:themeColor="text1"/>
          <w:sz w:val="24"/>
          <w:szCs w:val="24"/>
        </w:rPr>
        <w:t xml:space="preserve"> for 82 counties.</w:t>
      </w:r>
      <w:r w:rsidR="005B6CA5" w:rsidRPr="00FC2EE0">
        <w:rPr>
          <w:rFonts w:ascii="Times New Roman" w:hAnsi="Times New Roman"/>
          <w:color w:val="000000" w:themeColor="text1"/>
          <w:sz w:val="24"/>
          <w:szCs w:val="23"/>
          <w:vertAlign w:val="superscript"/>
        </w:rPr>
        <w:t xml:space="preserve"> 4, 5</w:t>
      </w:r>
    </w:p>
    <w:p w:rsidR="005B6CA5" w:rsidRPr="00FC2EE0" w:rsidRDefault="005B6CA5" w:rsidP="00342238">
      <w:pPr>
        <w:spacing w:after="0"/>
        <w:rPr>
          <w:rFonts w:ascii="Times" w:hAnsi="Times"/>
          <w:color w:val="000000" w:themeColor="text1"/>
          <w:sz w:val="24"/>
          <w:szCs w:val="24"/>
        </w:rPr>
      </w:pPr>
    </w:p>
    <w:p w:rsidR="005B6CA5" w:rsidRPr="00FC2EE0" w:rsidRDefault="005B6CA5" w:rsidP="005B6CA5">
      <w:pPr>
        <w:spacing w:after="0"/>
        <w:rPr>
          <w:rFonts w:ascii="Times" w:hAnsi="Times"/>
          <w:color w:val="000000" w:themeColor="text1"/>
          <w:sz w:val="24"/>
          <w:szCs w:val="24"/>
        </w:rPr>
      </w:pPr>
      <w:r w:rsidRPr="00FC2EE0">
        <w:rPr>
          <w:rFonts w:ascii="Times" w:hAnsi="Times"/>
          <w:color w:val="000000" w:themeColor="text1"/>
          <w:sz w:val="24"/>
          <w:szCs w:val="24"/>
        </w:rPr>
        <w:t xml:space="preserve">Nevertheless, the </w:t>
      </w:r>
      <w:r w:rsidRPr="00FC2EE0">
        <w:rPr>
          <w:rFonts w:ascii="Times" w:hAnsi="Times"/>
          <w:i/>
          <w:color w:val="000000" w:themeColor="text1"/>
          <w:sz w:val="24"/>
          <w:szCs w:val="24"/>
        </w:rPr>
        <w:t>2009 State Energy Efficiency Scorecard</w:t>
      </w:r>
      <w:r w:rsidRPr="00FC2EE0">
        <w:rPr>
          <w:rFonts w:ascii="Times" w:hAnsi="Times"/>
          <w:color w:val="000000" w:themeColor="text1"/>
          <w:sz w:val="24"/>
          <w:szCs w:val="24"/>
        </w:rPr>
        <w:t xml:space="preserve"> from the American Council for an Energy Efficient Economy (and other studies of the State and region) suggests that additional policy initiatives are needed in the State to encourage households, businesses, and industries to utilize energy more effectively.  Specifically, the ACEEE study rated </w:t>
      </w:r>
      <w:r w:rsidRPr="00FC2EE0">
        <w:rPr>
          <w:rFonts w:ascii="Times" w:hAnsi="Times"/>
          <w:iCs/>
          <w:color w:val="000000" w:themeColor="text1"/>
          <w:sz w:val="24"/>
          <w:szCs w:val="24"/>
        </w:rPr>
        <w:t>Mississippi 49th</w:t>
      </w:r>
      <w:r w:rsidRPr="00FC2EE0">
        <w:rPr>
          <w:rFonts w:ascii="Times" w:hAnsi="Times"/>
          <w:color w:val="000000" w:themeColor="text1"/>
          <w:sz w:val="24"/>
          <w:szCs w:val="24"/>
        </w:rPr>
        <w:t xml:space="preserve"> of the 50 states and DC for its adoption and implementation of energy-efficiency policies. This score is based on the state’s performance in six energy efficiency policy areas:  utility and public benefits, transportation, building energy codes, combined heat and power, state government initiatives, and appliance efficiency standards.</w:t>
      </w:r>
      <w:r w:rsidRPr="00FC2EE0">
        <w:rPr>
          <w:rFonts w:ascii="Times New Roman" w:hAnsi="Times New Roman"/>
          <w:color w:val="000000" w:themeColor="text1"/>
          <w:sz w:val="24"/>
          <w:szCs w:val="23"/>
          <w:vertAlign w:val="superscript"/>
        </w:rPr>
        <w:t xml:space="preserve"> 6</w:t>
      </w:r>
    </w:p>
    <w:p w:rsidR="005B6CA5" w:rsidRPr="00FC2EE0" w:rsidRDefault="005B6CA5" w:rsidP="005B6CA5">
      <w:pPr>
        <w:spacing w:after="0"/>
        <w:rPr>
          <w:rFonts w:ascii="Times" w:hAnsi="Times"/>
          <w:color w:val="000000" w:themeColor="text1"/>
          <w:sz w:val="24"/>
          <w:szCs w:val="24"/>
        </w:rPr>
      </w:pPr>
    </w:p>
    <w:p w:rsidR="005B6CA5" w:rsidRPr="00FC2EE0" w:rsidRDefault="005B6CA5" w:rsidP="005B6CA5">
      <w:pPr>
        <w:spacing w:after="0"/>
        <w:rPr>
          <w:rFonts w:ascii="Times" w:hAnsi="Times"/>
          <w:color w:val="000000" w:themeColor="text1"/>
          <w:sz w:val="24"/>
          <w:szCs w:val="24"/>
        </w:rPr>
      </w:pPr>
      <w:r w:rsidRPr="00FC2EE0">
        <w:rPr>
          <w:rFonts w:ascii="Times" w:hAnsi="Times"/>
          <w:color w:val="000000" w:themeColor="text1"/>
          <w:sz w:val="24"/>
          <w:szCs w:val="24"/>
        </w:rPr>
        <w:t>In the</w:t>
      </w:r>
      <w:r w:rsidRPr="00FC2EE0">
        <w:rPr>
          <w:rFonts w:ascii="Times" w:hAnsi="Times"/>
          <w:i/>
          <w:color w:val="000000" w:themeColor="text1"/>
          <w:sz w:val="24"/>
          <w:szCs w:val="24"/>
        </w:rPr>
        <w:t xml:space="preserve"> Meta-Review of Efficiency Potential Studies and Their Implications for the South</w:t>
      </w:r>
      <w:r w:rsidRPr="00FC2EE0">
        <w:rPr>
          <w:rFonts w:ascii="Times" w:hAnsi="Times"/>
          <w:color w:val="000000" w:themeColor="text1"/>
          <w:sz w:val="24"/>
          <w:szCs w:val="24"/>
        </w:rPr>
        <w:t>, Chandler and Brown (2009) reviewed six energy-efficiency studies that covered Mississippi. According to this meta-review, estimates of “maximum achievable” potent</w:t>
      </w:r>
      <w:r w:rsidR="00FC2EE0" w:rsidRPr="00FC2EE0">
        <w:rPr>
          <w:rFonts w:ascii="Times" w:hAnsi="Times"/>
          <w:color w:val="000000" w:themeColor="text1"/>
          <w:sz w:val="24"/>
          <w:szCs w:val="24"/>
        </w:rPr>
        <w:t>ial electricity savings range from 9-27</w:t>
      </w:r>
      <w:r w:rsidRPr="00FC2EE0">
        <w:rPr>
          <w:rFonts w:ascii="Times" w:hAnsi="Times"/>
          <w:color w:val="000000" w:themeColor="text1"/>
          <w:sz w:val="24"/>
          <w:szCs w:val="24"/>
        </w:rPr>
        <w:t>% of projected energy consumption in 2020</w:t>
      </w:r>
      <w:r w:rsidR="00FC2EE0" w:rsidRPr="00FC2EE0">
        <w:rPr>
          <w:rFonts w:ascii="Times" w:hAnsi="Times"/>
          <w:color w:val="000000" w:themeColor="text1"/>
          <w:sz w:val="24"/>
          <w:szCs w:val="24"/>
        </w:rPr>
        <w:t>. Mississippi</w:t>
      </w:r>
      <w:r w:rsidRPr="00FC2EE0">
        <w:rPr>
          <w:rFonts w:ascii="Times" w:hAnsi="Times"/>
          <w:color w:val="000000" w:themeColor="text1"/>
          <w:sz w:val="24"/>
          <w:szCs w:val="24"/>
        </w:rPr>
        <w:t>’s energy-efficiency potential would be higher than this range with the implementation of all cost-effective opportunities, but the number of studies with such estimates is limited.</w:t>
      </w:r>
      <w:r w:rsidRPr="00FC2EE0">
        <w:rPr>
          <w:rFonts w:ascii="Times New Roman" w:hAnsi="Times New Roman"/>
          <w:color w:val="000000" w:themeColor="text1"/>
          <w:sz w:val="24"/>
          <w:szCs w:val="23"/>
          <w:vertAlign w:val="superscript"/>
        </w:rPr>
        <w:t xml:space="preserve"> 7</w:t>
      </w:r>
    </w:p>
    <w:p w:rsidR="005B6CA5" w:rsidRPr="00FC2EE0" w:rsidRDefault="005B6CA5" w:rsidP="005B6CA5">
      <w:pPr>
        <w:spacing w:after="0"/>
        <w:rPr>
          <w:rFonts w:ascii="Times" w:hAnsi="Times"/>
          <w:color w:val="000000" w:themeColor="text1"/>
          <w:sz w:val="24"/>
          <w:szCs w:val="24"/>
        </w:rPr>
      </w:pPr>
    </w:p>
    <w:p w:rsidR="005B6CA5" w:rsidRPr="00FC2EE0" w:rsidRDefault="005B6CA5" w:rsidP="005B6CA5">
      <w:pPr>
        <w:spacing w:after="0"/>
        <w:rPr>
          <w:rFonts w:ascii="Times" w:hAnsi="Times"/>
          <w:color w:val="000000" w:themeColor="text1"/>
          <w:sz w:val="24"/>
          <w:szCs w:val="24"/>
        </w:rPr>
      </w:pPr>
    </w:p>
    <w:p w:rsidR="00342238" w:rsidRPr="00FC2EE0" w:rsidRDefault="00342238" w:rsidP="00342238">
      <w:pPr>
        <w:spacing w:after="0"/>
        <w:rPr>
          <w:rFonts w:ascii="Times" w:hAnsi="Times"/>
          <w:b/>
          <w:color w:val="000000" w:themeColor="text1"/>
          <w:sz w:val="24"/>
          <w:szCs w:val="24"/>
        </w:rPr>
      </w:pPr>
      <w:r w:rsidRPr="00FC2EE0">
        <w:rPr>
          <w:rFonts w:ascii="Times" w:hAnsi="Times"/>
          <w:b/>
          <w:color w:val="000000" w:themeColor="text1"/>
          <w:sz w:val="24"/>
          <w:szCs w:val="24"/>
        </w:rPr>
        <w:t>Energy Efficiency Potential by Sector</w:t>
      </w:r>
    </w:p>
    <w:p w:rsidR="00C36F63" w:rsidRDefault="00342238" w:rsidP="00F764DD">
      <w:pPr>
        <w:spacing w:after="0"/>
        <w:rPr>
          <w:noProof/>
          <w:lang w:eastAsia="ko-KR"/>
        </w:rPr>
      </w:pPr>
      <w:r w:rsidRPr="00FC2EE0">
        <w:rPr>
          <w:rFonts w:ascii="Times" w:hAnsi="Times"/>
          <w:color w:val="000000" w:themeColor="text1"/>
          <w:sz w:val="24"/>
          <w:szCs w:val="24"/>
        </w:rPr>
        <w:t xml:space="preserve">This profile describes the ability of nine energy policies to accelerate the adoption of cost-effective energy-efficient technologies in the residential, commercial, and industrial sectors of </w:t>
      </w:r>
      <w:r w:rsidR="008D644D" w:rsidRPr="00FC2EE0">
        <w:rPr>
          <w:rFonts w:ascii="Times" w:hAnsi="Times"/>
          <w:color w:val="000000" w:themeColor="text1"/>
          <w:sz w:val="24"/>
          <w:szCs w:val="24"/>
        </w:rPr>
        <w:t>Mississippi</w:t>
      </w:r>
      <w:r w:rsidRPr="00FC2EE0">
        <w:rPr>
          <w:rFonts w:ascii="Times" w:hAnsi="Times"/>
          <w:color w:val="000000" w:themeColor="text1"/>
          <w:sz w:val="24"/>
          <w:szCs w:val="24"/>
        </w:rPr>
        <w:t xml:space="preserve">.  </w:t>
      </w:r>
      <w:r w:rsidR="00661D3E">
        <w:rPr>
          <w:rFonts w:ascii="Times" w:hAnsi="Times"/>
          <w:color w:val="000000" w:themeColor="text1"/>
          <w:sz w:val="24"/>
          <w:szCs w:val="24"/>
        </w:rPr>
        <w:t xml:space="preserve">The state’s total energy consumption (residential, commercial, industrial, and transportation sectors) is projected to increase 3% from 2010 to 2030. </w:t>
      </w:r>
      <w:r w:rsidRPr="00FC2EE0">
        <w:rPr>
          <w:rFonts w:ascii="Times" w:hAnsi="Times"/>
          <w:color w:val="000000" w:themeColor="text1"/>
          <w:sz w:val="24"/>
          <w:szCs w:val="24"/>
        </w:rPr>
        <w:t xml:space="preserve">Altogether, these policies offer the potential to reduce </w:t>
      </w:r>
      <w:r w:rsidR="008D644D" w:rsidRPr="00FC2EE0">
        <w:rPr>
          <w:rFonts w:ascii="Times" w:hAnsi="Times"/>
          <w:color w:val="000000" w:themeColor="text1"/>
          <w:sz w:val="24"/>
          <w:szCs w:val="24"/>
        </w:rPr>
        <w:t>Mississippi</w:t>
      </w:r>
      <w:r w:rsidRPr="00FC2EE0">
        <w:rPr>
          <w:rFonts w:ascii="Times" w:hAnsi="Times"/>
          <w:color w:val="000000" w:themeColor="text1"/>
          <w:sz w:val="24"/>
          <w:szCs w:val="24"/>
        </w:rPr>
        <w:t>’s energy consumption by approximately</w:t>
      </w:r>
      <w:r w:rsidR="007B0AF8">
        <w:rPr>
          <w:rFonts w:ascii="Times" w:hAnsi="Times"/>
          <w:color w:val="000000" w:themeColor="text1"/>
          <w:sz w:val="24"/>
          <w:szCs w:val="24"/>
        </w:rPr>
        <w:t xml:space="preserve"> </w:t>
      </w:r>
      <w:r w:rsidR="004D4566" w:rsidRPr="00FC2EE0">
        <w:rPr>
          <w:rFonts w:ascii="Times" w:hAnsi="Times"/>
          <w:color w:val="000000" w:themeColor="text1"/>
          <w:sz w:val="24"/>
          <w:szCs w:val="24"/>
        </w:rPr>
        <w:t>1</w:t>
      </w:r>
      <w:r w:rsidR="004D4566">
        <w:rPr>
          <w:rFonts w:ascii="Times" w:hAnsi="Times"/>
          <w:color w:val="000000" w:themeColor="text1"/>
          <w:sz w:val="24"/>
          <w:szCs w:val="24"/>
        </w:rPr>
        <w:t>7</w:t>
      </w:r>
      <w:r w:rsidRPr="00FC2EE0">
        <w:rPr>
          <w:rFonts w:ascii="Times" w:hAnsi="Times"/>
          <w:color w:val="000000" w:themeColor="text1"/>
          <w:sz w:val="24"/>
          <w:szCs w:val="24"/>
        </w:rPr>
        <w:t>% of the energy consumed by the State in 2007</w:t>
      </w:r>
      <w:r w:rsidR="007B0AF8">
        <w:rPr>
          <w:rFonts w:ascii="Times" w:hAnsi="Times"/>
          <w:color w:val="000000" w:themeColor="text1"/>
          <w:sz w:val="24"/>
          <w:szCs w:val="24"/>
        </w:rPr>
        <w:t xml:space="preserve"> (</w:t>
      </w:r>
      <w:r w:rsidR="004D4566">
        <w:rPr>
          <w:rFonts w:ascii="Times" w:hAnsi="Times"/>
          <w:color w:val="000000" w:themeColor="text1"/>
          <w:sz w:val="24"/>
          <w:szCs w:val="24"/>
        </w:rPr>
        <w:t xml:space="preserve">200 </w:t>
      </w:r>
      <w:r w:rsidR="007B0AF8">
        <w:rPr>
          <w:rFonts w:ascii="Times" w:hAnsi="Times"/>
          <w:color w:val="000000" w:themeColor="text1"/>
          <w:sz w:val="24"/>
          <w:szCs w:val="24"/>
        </w:rPr>
        <w:t>TBtu in 2030) (Figure 4)</w:t>
      </w:r>
      <w:r w:rsidRPr="00FC2EE0">
        <w:rPr>
          <w:rFonts w:ascii="Times" w:hAnsi="Times"/>
          <w:color w:val="000000" w:themeColor="text1"/>
          <w:sz w:val="24"/>
          <w:szCs w:val="24"/>
        </w:rPr>
        <w:t xml:space="preserve">.  </w:t>
      </w:r>
      <w:r w:rsidR="008D644D" w:rsidRPr="00FC2EE0">
        <w:rPr>
          <w:rFonts w:ascii="Times" w:hAnsi="Times"/>
          <w:color w:val="000000" w:themeColor="text1"/>
          <w:sz w:val="24"/>
          <w:szCs w:val="24"/>
        </w:rPr>
        <w:t>With these policies, Mississippi</w:t>
      </w:r>
      <w:r w:rsidRPr="00FC2EE0">
        <w:rPr>
          <w:rFonts w:ascii="Times" w:hAnsi="Times"/>
          <w:color w:val="000000" w:themeColor="text1"/>
          <w:sz w:val="24"/>
          <w:szCs w:val="24"/>
        </w:rPr>
        <w:t>’s energy consumption could drop to below its 2010 levels by 2030.</w:t>
      </w:r>
      <w:r w:rsidR="00FC2EE0" w:rsidRPr="00FC2EE0">
        <w:rPr>
          <w:rFonts w:ascii="Times" w:hAnsi="Times"/>
          <w:color w:val="000000" w:themeColor="text1"/>
          <w:sz w:val="24"/>
          <w:szCs w:val="24"/>
        </w:rPr>
        <w:t xml:space="preserve"> For complete policy descriptions, refer to </w:t>
      </w:r>
      <w:r w:rsidR="00FC2EE0" w:rsidRPr="00FC2EE0">
        <w:rPr>
          <w:rFonts w:ascii="Times" w:hAnsi="Times"/>
          <w:i/>
          <w:color w:val="000000" w:themeColor="text1"/>
          <w:sz w:val="24"/>
          <w:szCs w:val="24"/>
        </w:rPr>
        <w:t xml:space="preserve">Energy Efficiency in the South by </w:t>
      </w:r>
      <w:r w:rsidR="00FC2EE0" w:rsidRPr="00FC2EE0">
        <w:rPr>
          <w:rFonts w:ascii="Times" w:hAnsi="Times"/>
          <w:color w:val="000000" w:themeColor="text1"/>
          <w:sz w:val="24"/>
          <w:szCs w:val="24"/>
        </w:rPr>
        <w:t>Brown et al. (2010).</w:t>
      </w:r>
      <w:r w:rsidR="00F764DD" w:rsidRPr="00F764DD">
        <w:rPr>
          <w:noProof/>
          <w:lang w:eastAsia="ko-KR"/>
        </w:rPr>
        <w:t xml:space="preserve"> </w:t>
      </w:r>
    </w:p>
    <w:p w:rsidR="00CB09C8" w:rsidRPr="00F764DD" w:rsidRDefault="00C83C5D" w:rsidP="00C83C5D">
      <w:pPr>
        <w:spacing w:after="0"/>
        <w:jc w:val="center"/>
        <w:rPr>
          <w:rFonts w:ascii="Times" w:hAnsi="Times"/>
          <w:color w:val="000000" w:themeColor="text1"/>
          <w:sz w:val="24"/>
          <w:szCs w:val="24"/>
        </w:rPr>
      </w:pPr>
      <w:r w:rsidRPr="00C83C5D">
        <w:rPr>
          <w:noProof/>
          <w:lang w:eastAsia="en-US"/>
        </w:rPr>
        <w:drawing>
          <wp:inline distT="0" distB="0" distL="0" distR="0">
            <wp:extent cx="5181600" cy="2438400"/>
            <wp:effectExtent l="0" t="0" r="0" b="0"/>
            <wp:docPr id="23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4B91" w:rsidRPr="00FC2EE0" w:rsidRDefault="00FB1B94" w:rsidP="00075B5F">
      <w:pPr>
        <w:jc w:val="center"/>
        <w:rPr>
          <w:rFonts w:ascii="Times" w:hAnsi="Times"/>
          <w:b/>
          <w:color w:val="000000" w:themeColor="text1"/>
          <w:sz w:val="24"/>
          <w:szCs w:val="24"/>
        </w:rPr>
      </w:pPr>
      <w:r w:rsidRPr="00FC2EE0">
        <w:rPr>
          <w:rFonts w:ascii="Times" w:hAnsi="Times"/>
          <w:b/>
          <w:color w:val="000000" w:themeColor="text1"/>
          <w:sz w:val="24"/>
          <w:szCs w:val="24"/>
        </w:rPr>
        <w:t>Figure 4</w:t>
      </w:r>
      <w:r w:rsidR="00D84B91" w:rsidRPr="00FC2EE0">
        <w:rPr>
          <w:rFonts w:ascii="Times" w:hAnsi="Times"/>
          <w:b/>
          <w:color w:val="000000" w:themeColor="text1"/>
          <w:sz w:val="24"/>
          <w:szCs w:val="24"/>
        </w:rPr>
        <w:t xml:space="preserve">: </w:t>
      </w:r>
      <w:r w:rsidR="00A01E2B" w:rsidRPr="00FC2EE0">
        <w:rPr>
          <w:rFonts w:ascii="Times" w:hAnsi="Times"/>
          <w:b/>
          <w:color w:val="000000" w:themeColor="text1"/>
          <w:sz w:val="24"/>
          <w:szCs w:val="24"/>
        </w:rPr>
        <w:t xml:space="preserve">Energy Efficiency </w:t>
      </w:r>
      <w:r w:rsidR="00D84B91" w:rsidRPr="00FC2EE0">
        <w:rPr>
          <w:rFonts w:ascii="Times" w:hAnsi="Times"/>
          <w:b/>
          <w:color w:val="000000" w:themeColor="text1"/>
          <w:sz w:val="24"/>
          <w:szCs w:val="24"/>
        </w:rPr>
        <w:t xml:space="preserve">Potential in </w:t>
      </w:r>
      <w:r w:rsidR="00C4386C" w:rsidRPr="00FC2EE0">
        <w:rPr>
          <w:rFonts w:ascii="Times" w:hAnsi="Times"/>
          <w:b/>
          <w:color w:val="000000" w:themeColor="text1"/>
          <w:sz w:val="24"/>
          <w:szCs w:val="24"/>
        </w:rPr>
        <w:t>Mississippi</w:t>
      </w:r>
      <w:r w:rsidR="00FC2EE0" w:rsidRPr="00FC2EE0">
        <w:rPr>
          <w:rFonts w:ascii="Times" w:hAnsi="Times"/>
          <w:b/>
          <w:color w:val="000000" w:themeColor="text1"/>
          <w:sz w:val="24"/>
          <w:szCs w:val="24"/>
          <w:vertAlign w:val="superscript"/>
        </w:rPr>
        <w:t>1</w:t>
      </w:r>
      <w:r w:rsidR="00171960">
        <w:rPr>
          <w:rFonts w:ascii="Times" w:eastAsia="Batang" w:hAnsi="Times" w:hint="eastAsia"/>
          <w:b/>
          <w:color w:val="000000" w:themeColor="text1"/>
          <w:sz w:val="24"/>
          <w:szCs w:val="24"/>
          <w:vertAlign w:val="superscript"/>
          <w:lang w:eastAsia="ko-KR"/>
        </w:rPr>
        <w:t>6</w:t>
      </w:r>
      <w:r w:rsidR="00D84B91" w:rsidRPr="00FC2EE0">
        <w:rPr>
          <w:rFonts w:ascii="Times" w:hAnsi="Times"/>
          <w:b/>
          <w:color w:val="000000" w:themeColor="text1"/>
          <w:sz w:val="24"/>
          <w:szCs w:val="24"/>
        </w:rPr>
        <w:t xml:space="preserve"> </w:t>
      </w:r>
    </w:p>
    <w:p w:rsidR="00EB71CE" w:rsidRPr="005720F1" w:rsidRDefault="008D644D" w:rsidP="00EB71CE">
      <w:pPr>
        <w:rPr>
          <w:rFonts w:ascii="Times" w:hAnsi="Times"/>
          <w:sz w:val="24"/>
          <w:szCs w:val="24"/>
        </w:rPr>
      </w:pPr>
      <w:r w:rsidRPr="00FC2EE0">
        <w:rPr>
          <w:rFonts w:ascii="Times" w:hAnsi="Times"/>
          <w:color w:val="000000" w:themeColor="text1"/>
          <w:sz w:val="24"/>
          <w:szCs w:val="24"/>
        </w:rPr>
        <w:t>The industrial sector offers the greatest energy efficiency potential in Mississippi (Figure 5).  In 2020,</w:t>
      </w:r>
      <w:r w:rsidR="007B0AF8">
        <w:rPr>
          <w:rFonts w:ascii="Times" w:hAnsi="Times"/>
          <w:color w:val="000000" w:themeColor="text1"/>
          <w:sz w:val="24"/>
          <w:szCs w:val="24"/>
        </w:rPr>
        <w:t xml:space="preserve"> the</w:t>
      </w:r>
      <w:r w:rsidRPr="00FC2EE0">
        <w:rPr>
          <w:rFonts w:ascii="Times" w:hAnsi="Times"/>
          <w:color w:val="000000" w:themeColor="text1"/>
          <w:sz w:val="24"/>
          <w:szCs w:val="24"/>
        </w:rPr>
        <w:t xml:space="preserve"> savings </w:t>
      </w:r>
      <w:r w:rsidR="007B0AF8">
        <w:rPr>
          <w:rFonts w:ascii="Times" w:hAnsi="Times"/>
          <w:color w:val="000000" w:themeColor="text1"/>
          <w:sz w:val="24"/>
          <w:szCs w:val="24"/>
        </w:rPr>
        <w:t xml:space="preserve">potential </w:t>
      </w:r>
      <w:r w:rsidRPr="00FC2EE0">
        <w:rPr>
          <w:rFonts w:ascii="Times" w:hAnsi="Times"/>
          <w:color w:val="000000" w:themeColor="text1"/>
          <w:sz w:val="24"/>
          <w:szCs w:val="24"/>
        </w:rPr>
        <w:t xml:space="preserve">from all three sectors is about </w:t>
      </w:r>
      <w:r w:rsidR="004D4566">
        <w:rPr>
          <w:rFonts w:ascii="Times" w:hAnsi="Times"/>
          <w:color w:val="000000" w:themeColor="text1"/>
          <w:sz w:val="24"/>
          <w:szCs w:val="24"/>
        </w:rPr>
        <w:t>10</w:t>
      </w:r>
      <w:r w:rsidRPr="00FC2EE0">
        <w:rPr>
          <w:rFonts w:ascii="Times" w:hAnsi="Times"/>
          <w:color w:val="000000" w:themeColor="text1"/>
          <w:sz w:val="24"/>
          <w:szCs w:val="24"/>
        </w:rPr>
        <w:t xml:space="preserve">% </w:t>
      </w:r>
      <w:r w:rsidR="007B0AF8">
        <w:rPr>
          <w:rFonts w:ascii="Times" w:hAnsi="Times"/>
          <w:color w:val="000000" w:themeColor="text1"/>
          <w:sz w:val="24"/>
          <w:szCs w:val="24"/>
        </w:rPr>
        <w:t>(</w:t>
      </w:r>
      <w:r w:rsidR="004D4566">
        <w:rPr>
          <w:rFonts w:ascii="Times" w:hAnsi="Times"/>
          <w:color w:val="000000" w:themeColor="text1"/>
          <w:sz w:val="24"/>
          <w:szCs w:val="24"/>
        </w:rPr>
        <w:t xml:space="preserve">120 </w:t>
      </w:r>
      <w:r w:rsidR="007B0AF8">
        <w:rPr>
          <w:rFonts w:ascii="Times" w:hAnsi="Times"/>
          <w:color w:val="000000" w:themeColor="text1"/>
          <w:sz w:val="24"/>
          <w:szCs w:val="24"/>
        </w:rPr>
        <w:t xml:space="preserve">TBtu) </w:t>
      </w:r>
      <w:r w:rsidRPr="00FC2EE0">
        <w:rPr>
          <w:rFonts w:ascii="Times" w:hAnsi="Times"/>
          <w:color w:val="000000" w:themeColor="text1"/>
          <w:sz w:val="24"/>
          <w:szCs w:val="24"/>
        </w:rPr>
        <w:t xml:space="preserve">of the total energy consumed by the State in 2007.  Electricity savings constitute </w:t>
      </w:r>
      <w:r w:rsidR="004D4566">
        <w:rPr>
          <w:rFonts w:ascii="Times" w:hAnsi="Times"/>
          <w:color w:val="000000" w:themeColor="text1"/>
          <w:sz w:val="24"/>
          <w:szCs w:val="24"/>
        </w:rPr>
        <w:t>71</w:t>
      </w:r>
      <w:r w:rsidR="004D4566" w:rsidRPr="00FC2EE0">
        <w:rPr>
          <w:rFonts w:ascii="Times" w:hAnsi="Times"/>
          <w:color w:val="000000" w:themeColor="text1"/>
          <w:sz w:val="24"/>
          <w:szCs w:val="24"/>
        </w:rPr>
        <w:t xml:space="preserve"> </w:t>
      </w:r>
      <w:r w:rsidRPr="00FC2EE0">
        <w:rPr>
          <w:rFonts w:ascii="Times" w:hAnsi="Times"/>
          <w:color w:val="000000" w:themeColor="text1"/>
          <w:sz w:val="24"/>
          <w:szCs w:val="24"/>
        </w:rPr>
        <w:t xml:space="preserve">TBtu of this amount.  </w:t>
      </w:r>
      <w:r w:rsidR="00661D3E">
        <w:rPr>
          <w:rFonts w:ascii="Times" w:hAnsi="Times"/>
          <w:color w:val="000000" w:themeColor="text1"/>
          <w:sz w:val="24"/>
          <w:szCs w:val="24"/>
        </w:rPr>
        <w:t>The energy</w:t>
      </w:r>
      <w:r w:rsidR="00D43801">
        <w:rPr>
          <w:rFonts w:ascii="Times" w:hAnsi="Times"/>
          <w:color w:val="000000" w:themeColor="text1"/>
          <w:sz w:val="24"/>
          <w:szCs w:val="24"/>
        </w:rPr>
        <w:t>-</w:t>
      </w:r>
      <w:r w:rsidR="00661D3E">
        <w:rPr>
          <w:rFonts w:ascii="Times" w:hAnsi="Times"/>
          <w:color w:val="000000" w:themeColor="text1"/>
          <w:sz w:val="24"/>
          <w:szCs w:val="24"/>
        </w:rPr>
        <w:t xml:space="preserve">efficiency savings from the three sectors </w:t>
      </w:r>
      <w:r w:rsidR="00D43801">
        <w:rPr>
          <w:rFonts w:ascii="Times" w:hAnsi="Times"/>
          <w:color w:val="000000" w:themeColor="text1"/>
          <w:sz w:val="24"/>
          <w:szCs w:val="24"/>
        </w:rPr>
        <w:t xml:space="preserve">could </w:t>
      </w:r>
      <w:r w:rsidR="00661D3E">
        <w:rPr>
          <w:rFonts w:ascii="Times" w:hAnsi="Times"/>
          <w:color w:val="000000" w:themeColor="text1"/>
          <w:sz w:val="24"/>
          <w:szCs w:val="24"/>
        </w:rPr>
        <w:t xml:space="preserve">decrease the total projected consumption for the state by 10% in 2020 and 18% in 2030. </w:t>
      </w:r>
      <w:r w:rsidR="00FC2EE0" w:rsidRPr="00FC2EE0">
        <w:rPr>
          <w:rFonts w:ascii="Times" w:hAnsi="Times"/>
          <w:color w:val="000000" w:themeColor="text1"/>
          <w:sz w:val="24"/>
          <w:szCs w:val="24"/>
        </w:rPr>
        <w:t>With these policies,</w:t>
      </w:r>
      <w:r w:rsidR="00BE144B">
        <w:rPr>
          <w:rFonts w:ascii="Times" w:hAnsi="Times"/>
          <w:color w:val="000000" w:themeColor="text1"/>
          <w:sz w:val="24"/>
          <w:szCs w:val="24"/>
        </w:rPr>
        <w:t xml:space="preserve"> the electricity generated by two 500-MW power plants in 2020 and four such power plants in 2030 could be avoided</w:t>
      </w:r>
      <w:r w:rsidR="00FC2EE0" w:rsidRPr="00FC2EE0">
        <w:rPr>
          <w:rFonts w:ascii="Times" w:hAnsi="Times"/>
          <w:color w:val="000000" w:themeColor="text1"/>
          <w:sz w:val="24"/>
          <w:szCs w:val="24"/>
        </w:rPr>
        <w:t>.</w:t>
      </w:r>
      <w:r w:rsidR="00FC2EE0" w:rsidRPr="00FC2EE0">
        <w:rPr>
          <w:rFonts w:ascii="Times New Roman" w:hAnsi="Times New Roman"/>
          <w:color w:val="000000" w:themeColor="text1"/>
          <w:sz w:val="24"/>
          <w:szCs w:val="23"/>
          <w:vertAlign w:val="superscript"/>
        </w:rPr>
        <w:t xml:space="preserve"> 8</w:t>
      </w:r>
      <w:r w:rsidR="00EB71CE" w:rsidRPr="00EB71CE">
        <w:rPr>
          <w:rFonts w:ascii="Times" w:hAnsi="Times"/>
          <w:sz w:val="24"/>
          <w:szCs w:val="24"/>
        </w:rPr>
        <w:t xml:space="preserve"> </w:t>
      </w:r>
    </w:p>
    <w:p w:rsidR="00FC2EE0" w:rsidRPr="00FC2EE0" w:rsidRDefault="00FC2EE0" w:rsidP="00FC2EE0">
      <w:pPr>
        <w:spacing w:after="0"/>
        <w:rPr>
          <w:rFonts w:ascii="Times" w:hAnsi="Times"/>
          <w:color w:val="000000" w:themeColor="text1"/>
          <w:sz w:val="24"/>
          <w:szCs w:val="24"/>
        </w:rPr>
      </w:pPr>
    </w:p>
    <w:p w:rsidR="008106BE" w:rsidRPr="00FC2EE0" w:rsidRDefault="00093621" w:rsidP="00FC2EE0">
      <w:pPr>
        <w:spacing w:after="0"/>
        <w:rPr>
          <w:rFonts w:ascii="Times" w:hAnsi="Times"/>
          <w:b/>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5448300" cy="235267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644D" w:rsidRPr="00FC2EE0" w:rsidRDefault="008106BE" w:rsidP="00E056A3">
      <w:pPr>
        <w:spacing w:after="0"/>
        <w:jc w:val="center"/>
        <w:rPr>
          <w:rFonts w:ascii="Times" w:hAnsi="Times"/>
          <w:b/>
          <w:color w:val="000000" w:themeColor="text1"/>
          <w:sz w:val="24"/>
          <w:szCs w:val="24"/>
        </w:rPr>
      </w:pPr>
      <w:r w:rsidRPr="00FC2EE0">
        <w:rPr>
          <w:rFonts w:ascii="Times" w:hAnsi="Times"/>
          <w:b/>
          <w:color w:val="000000" w:themeColor="text1"/>
          <w:sz w:val="24"/>
          <w:szCs w:val="24"/>
        </w:rPr>
        <w:t xml:space="preserve">Figure </w:t>
      </w:r>
      <w:r w:rsidR="00FB1B94" w:rsidRPr="00FC2EE0">
        <w:rPr>
          <w:rFonts w:ascii="Times" w:hAnsi="Times"/>
          <w:b/>
          <w:color w:val="000000" w:themeColor="text1"/>
          <w:sz w:val="24"/>
          <w:szCs w:val="24"/>
        </w:rPr>
        <w:t>5</w:t>
      </w:r>
      <w:r w:rsidRPr="00FC2EE0">
        <w:rPr>
          <w:rFonts w:ascii="Times" w:hAnsi="Times"/>
          <w:b/>
          <w:color w:val="000000" w:themeColor="text1"/>
          <w:sz w:val="24"/>
          <w:szCs w:val="24"/>
        </w:rPr>
        <w:t xml:space="preserve">: Energy Efficiency </w:t>
      </w:r>
      <w:r w:rsidR="00785283" w:rsidRPr="00FC2EE0">
        <w:rPr>
          <w:rFonts w:ascii="Times" w:hAnsi="Times"/>
          <w:b/>
          <w:color w:val="000000" w:themeColor="text1"/>
          <w:sz w:val="24"/>
          <w:szCs w:val="24"/>
        </w:rPr>
        <w:t>Potential</w:t>
      </w:r>
      <w:r w:rsidRPr="00FC2EE0">
        <w:rPr>
          <w:rFonts w:ascii="Times" w:hAnsi="Times"/>
          <w:b/>
          <w:color w:val="000000" w:themeColor="text1"/>
          <w:sz w:val="24"/>
          <w:szCs w:val="24"/>
        </w:rPr>
        <w:t xml:space="preserve"> by Sector in </w:t>
      </w:r>
      <w:r w:rsidR="00C4386C" w:rsidRPr="00FC2EE0">
        <w:rPr>
          <w:rFonts w:ascii="Times" w:hAnsi="Times"/>
          <w:b/>
          <w:color w:val="000000" w:themeColor="text1"/>
          <w:sz w:val="24"/>
          <w:szCs w:val="24"/>
        </w:rPr>
        <w:t>Mississippi</w:t>
      </w:r>
      <w:r w:rsidR="00785283" w:rsidRPr="00FC2EE0">
        <w:rPr>
          <w:rFonts w:ascii="Times" w:hAnsi="Times"/>
          <w:b/>
          <w:color w:val="000000" w:themeColor="text1"/>
          <w:sz w:val="24"/>
          <w:szCs w:val="24"/>
        </w:rPr>
        <w:t>, 2020 and 2030</w:t>
      </w:r>
    </w:p>
    <w:p w:rsidR="00FC2EE0" w:rsidRPr="00FC2EE0" w:rsidRDefault="00FC2EE0" w:rsidP="00075B5F">
      <w:pPr>
        <w:spacing w:after="0"/>
        <w:rPr>
          <w:rFonts w:ascii="Times" w:hAnsi="Times"/>
          <w:b/>
          <w:i/>
          <w:color w:val="000000" w:themeColor="text1"/>
          <w:sz w:val="24"/>
          <w:szCs w:val="24"/>
        </w:rPr>
      </w:pPr>
    </w:p>
    <w:p w:rsidR="00C15B0B" w:rsidRPr="00FC2EE0" w:rsidRDefault="00C15B0B" w:rsidP="00075B5F">
      <w:pPr>
        <w:spacing w:after="0"/>
        <w:rPr>
          <w:rFonts w:ascii="Times" w:hAnsi="Times"/>
          <w:b/>
          <w:i/>
          <w:color w:val="000000" w:themeColor="text1"/>
          <w:sz w:val="24"/>
          <w:szCs w:val="24"/>
        </w:rPr>
      </w:pPr>
      <w:r w:rsidRPr="00FC2EE0">
        <w:rPr>
          <w:rFonts w:ascii="Times" w:hAnsi="Times"/>
          <w:b/>
          <w:i/>
          <w:color w:val="000000" w:themeColor="text1"/>
          <w:sz w:val="24"/>
          <w:szCs w:val="24"/>
        </w:rPr>
        <w:t>Residential Sector</w:t>
      </w:r>
    </w:p>
    <w:p w:rsidR="00E056A3" w:rsidRPr="00FC2EE0" w:rsidRDefault="008D644D" w:rsidP="008D644D">
      <w:pPr>
        <w:spacing w:after="0"/>
        <w:rPr>
          <w:rFonts w:ascii="Times" w:hAnsi="Times"/>
          <w:color w:val="000000" w:themeColor="text1"/>
          <w:sz w:val="24"/>
          <w:szCs w:val="24"/>
        </w:rPr>
      </w:pPr>
      <w:r w:rsidRPr="00FC2EE0">
        <w:rPr>
          <w:rFonts w:ascii="Times" w:hAnsi="Times"/>
          <w:color w:val="000000" w:themeColor="text1"/>
          <w:sz w:val="24"/>
          <w:szCs w:val="24"/>
        </w:rPr>
        <w:t xml:space="preserve">Four residential energy efficiency policies were examined: building codes with third party verification, appliance standards and incentives, expanded Weatherization Assistance Program, and retrofit incentives </w:t>
      </w:r>
      <w:r w:rsidR="00D43801">
        <w:rPr>
          <w:rFonts w:ascii="Times" w:hAnsi="Times"/>
          <w:color w:val="000000" w:themeColor="text1"/>
          <w:sz w:val="24"/>
          <w:szCs w:val="24"/>
        </w:rPr>
        <w:t>with</w:t>
      </w:r>
      <w:r w:rsidR="00D43801" w:rsidRPr="00FC2EE0">
        <w:rPr>
          <w:rFonts w:ascii="Times" w:hAnsi="Times"/>
          <w:color w:val="000000" w:themeColor="text1"/>
          <w:sz w:val="24"/>
          <w:szCs w:val="24"/>
        </w:rPr>
        <w:t xml:space="preserve"> </w:t>
      </w:r>
      <w:r w:rsidRPr="00FC2EE0">
        <w:rPr>
          <w:rFonts w:ascii="Times" w:hAnsi="Times"/>
          <w:color w:val="000000" w:themeColor="text1"/>
          <w:sz w:val="24"/>
          <w:szCs w:val="24"/>
        </w:rPr>
        <w:t xml:space="preserve">equipment standards.  Their implementation could reduce Mississippi’s projected residential consumption by about 8% (21 TBtu) in 2020 and 12% (34 TBtu) in 2030 (Figure 6).  In 2020, the residential energy required by about </w:t>
      </w:r>
      <w:r w:rsidR="00EB71CE">
        <w:rPr>
          <w:rFonts w:ascii="Times" w:hAnsi="Times"/>
          <w:color w:val="000000" w:themeColor="text1"/>
          <w:sz w:val="24"/>
          <w:szCs w:val="24"/>
        </w:rPr>
        <w:t>96,000</w:t>
      </w:r>
      <w:r w:rsidRPr="00FC2EE0">
        <w:rPr>
          <w:rFonts w:ascii="Times" w:hAnsi="Times"/>
          <w:color w:val="000000" w:themeColor="text1"/>
          <w:sz w:val="24"/>
          <w:szCs w:val="24"/>
        </w:rPr>
        <w:t xml:space="preserve"> Mississippian households could be avoided or about</w:t>
      </w:r>
      <w:r w:rsidR="00FC2EE0" w:rsidRPr="00FC2EE0">
        <w:rPr>
          <w:rFonts w:ascii="Times" w:hAnsi="Times"/>
          <w:color w:val="000000" w:themeColor="text1"/>
          <w:sz w:val="24"/>
          <w:szCs w:val="24"/>
        </w:rPr>
        <w:t xml:space="preserve"> </w:t>
      </w:r>
      <w:r w:rsidRPr="00FC2EE0">
        <w:rPr>
          <w:rFonts w:ascii="Times" w:hAnsi="Times"/>
          <w:color w:val="000000" w:themeColor="text1"/>
          <w:sz w:val="24"/>
          <w:szCs w:val="24"/>
        </w:rPr>
        <w:t>$</w:t>
      </w:r>
      <w:r w:rsidR="00EB71CE">
        <w:rPr>
          <w:rFonts w:ascii="Times" w:hAnsi="Times"/>
          <w:color w:val="000000" w:themeColor="text1"/>
          <w:sz w:val="24"/>
          <w:szCs w:val="24"/>
        </w:rPr>
        <w:t>240</w:t>
      </w:r>
      <w:r w:rsidR="00EB71CE" w:rsidRPr="00FC2EE0">
        <w:rPr>
          <w:rFonts w:ascii="Times" w:hAnsi="Times"/>
          <w:color w:val="000000" w:themeColor="text1"/>
          <w:sz w:val="24"/>
          <w:szCs w:val="24"/>
        </w:rPr>
        <w:t xml:space="preserve"> </w:t>
      </w:r>
      <w:r w:rsidRPr="00FC2EE0">
        <w:rPr>
          <w:rFonts w:ascii="Times" w:hAnsi="Times"/>
          <w:color w:val="000000" w:themeColor="text1"/>
          <w:sz w:val="24"/>
          <w:szCs w:val="24"/>
        </w:rPr>
        <w:t xml:space="preserve">per household.  </w:t>
      </w:r>
    </w:p>
    <w:p w:rsidR="00DA5C1C" w:rsidRPr="00FC2EE0" w:rsidRDefault="00DA5C1C" w:rsidP="00DA5C1C">
      <w:pPr>
        <w:spacing w:after="0"/>
        <w:rPr>
          <w:rFonts w:ascii="Times" w:hAnsi="Times"/>
          <w:color w:val="000000" w:themeColor="text1"/>
          <w:sz w:val="24"/>
          <w:szCs w:val="24"/>
        </w:rPr>
      </w:pPr>
    </w:p>
    <w:tbl>
      <w:tblPr>
        <w:tblW w:w="10638" w:type="dxa"/>
        <w:tblLayout w:type="fixed"/>
        <w:tblLook w:val="04A0"/>
      </w:tblPr>
      <w:tblGrid>
        <w:gridCol w:w="4878"/>
        <w:gridCol w:w="5760"/>
      </w:tblGrid>
      <w:tr w:rsidR="00E056A3" w:rsidRPr="00FC2EE0">
        <w:trPr>
          <w:trHeight w:val="3978"/>
        </w:trPr>
        <w:tc>
          <w:tcPr>
            <w:tcW w:w="4878" w:type="dxa"/>
          </w:tcPr>
          <w:p w:rsidR="00E056A3" w:rsidRPr="00FC2EE0" w:rsidRDefault="00DA5C1C" w:rsidP="0071207A">
            <w:pPr>
              <w:spacing w:after="0"/>
              <w:rPr>
                <w:rFonts w:ascii="Times" w:hAnsi="Times"/>
                <w:b/>
                <w:noProof/>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3004820" cy="2238375"/>
                  <wp:effectExtent l="0" t="0" r="0" b="0"/>
                  <wp:docPr id="2"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56A3" w:rsidRPr="00FC2EE0" w:rsidRDefault="00E056A3" w:rsidP="0071207A">
            <w:pPr>
              <w:spacing w:after="0"/>
              <w:jc w:val="center"/>
              <w:rPr>
                <w:rFonts w:ascii="Times" w:hAnsi="Times"/>
                <w:b/>
                <w:color w:val="000000" w:themeColor="text1"/>
                <w:sz w:val="24"/>
                <w:szCs w:val="24"/>
              </w:rPr>
            </w:pPr>
            <w:r w:rsidRPr="00FC2EE0">
              <w:rPr>
                <w:rFonts w:ascii="Times" w:hAnsi="Times"/>
                <w:b/>
                <w:noProof/>
                <w:color w:val="000000" w:themeColor="text1"/>
                <w:sz w:val="24"/>
                <w:szCs w:val="24"/>
              </w:rPr>
              <w:t>Figure 6: Residential Sector Savings</w:t>
            </w:r>
          </w:p>
        </w:tc>
        <w:tc>
          <w:tcPr>
            <w:tcW w:w="5760" w:type="dxa"/>
          </w:tcPr>
          <w:p w:rsidR="00E056A3" w:rsidRPr="00FC2EE0" w:rsidRDefault="00DA5C1C" w:rsidP="0071207A">
            <w:pPr>
              <w:spacing w:after="0"/>
              <w:rPr>
                <w:rFonts w:ascii="Times" w:hAnsi="Times"/>
                <w:b/>
                <w:noProof/>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3000375" cy="2105025"/>
                  <wp:effectExtent l="0" t="0" r="0" b="0"/>
                  <wp:docPr id="4"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56A3" w:rsidRPr="00FC2EE0" w:rsidRDefault="00E056A3" w:rsidP="0071207A">
            <w:pPr>
              <w:spacing w:after="0"/>
              <w:rPr>
                <w:rFonts w:ascii="Times" w:hAnsi="Times"/>
                <w:b/>
                <w:noProof/>
                <w:color w:val="000000" w:themeColor="text1"/>
                <w:sz w:val="24"/>
                <w:szCs w:val="24"/>
              </w:rPr>
            </w:pPr>
            <w:r w:rsidRPr="00FC2EE0">
              <w:rPr>
                <w:rFonts w:ascii="Times" w:hAnsi="Times"/>
                <w:b/>
                <w:noProof/>
                <w:color w:val="000000" w:themeColor="text1"/>
                <w:sz w:val="24"/>
                <w:szCs w:val="24"/>
              </w:rPr>
              <w:t xml:space="preserve"> Figure 7: Residential Sector Savings by Fuel Type</w:t>
            </w:r>
          </w:p>
        </w:tc>
      </w:tr>
    </w:tbl>
    <w:p w:rsidR="00C36F63" w:rsidRDefault="00C36F63" w:rsidP="00EB71CE">
      <w:pPr>
        <w:spacing w:after="0"/>
        <w:rPr>
          <w:rFonts w:ascii="Times" w:hAnsi="Times"/>
          <w:color w:val="000000" w:themeColor="text1"/>
          <w:sz w:val="24"/>
          <w:szCs w:val="24"/>
        </w:rPr>
      </w:pPr>
    </w:p>
    <w:p w:rsidR="00EB71CE" w:rsidRPr="00FC2EE0" w:rsidRDefault="00EB71CE" w:rsidP="00EB71CE">
      <w:pPr>
        <w:spacing w:after="0"/>
        <w:rPr>
          <w:rFonts w:ascii="Times" w:hAnsi="Times"/>
          <w:color w:val="000000" w:themeColor="text1"/>
          <w:sz w:val="24"/>
          <w:szCs w:val="24"/>
        </w:rPr>
      </w:pPr>
      <w:r w:rsidRPr="00FC2EE0">
        <w:rPr>
          <w:rFonts w:ascii="Times" w:hAnsi="Times"/>
          <w:color w:val="000000" w:themeColor="text1"/>
          <w:sz w:val="24"/>
          <w:szCs w:val="24"/>
        </w:rPr>
        <w:t>The principal energy savings are from electricity, but significant natural gas savings could also occur (Figure 7).  With these policies, residential energy consumption could remain largely unchanged over the next two decades.</w:t>
      </w:r>
    </w:p>
    <w:p w:rsidR="00FC2EE0" w:rsidRPr="00EB71CE" w:rsidRDefault="00FC2EE0" w:rsidP="00075B5F">
      <w:pPr>
        <w:spacing w:after="0"/>
        <w:rPr>
          <w:rFonts w:ascii="Times" w:hAnsi="Times"/>
          <w:color w:val="000000" w:themeColor="text1"/>
          <w:sz w:val="24"/>
          <w:szCs w:val="24"/>
        </w:rPr>
      </w:pPr>
    </w:p>
    <w:p w:rsidR="000808A7" w:rsidRPr="00FC2EE0" w:rsidRDefault="000808A7" w:rsidP="00075B5F">
      <w:pPr>
        <w:spacing w:after="0"/>
        <w:rPr>
          <w:rFonts w:ascii="Times" w:hAnsi="Times"/>
          <w:b/>
          <w:i/>
          <w:color w:val="000000" w:themeColor="text1"/>
          <w:sz w:val="24"/>
          <w:szCs w:val="24"/>
        </w:rPr>
      </w:pPr>
      <w:r w:rsidRPr="00FC2EE0">
        <w:rPr>
          <w:rFonts w:ascii="Times" w:hAnsi="Times"/>
          <w:b/>
          <w:i/>
          <w:color w:val="000000" w:themeColor="text1"/>
          <w:sz w:val="24"/>
          <w:szCs w:val="24"/>
        </w:rPr>
        <w:t>Commercial Sector</w:t>
      </w:r>
    </w:p>
    <w:p w:rsidR="00E056A3" w:rsidRPr="00FC2EE0" w:rsidRDefault="00E056A3" w:rsidP="00E056A3">
      <w:pPr>
        <w:spacing w:after="0"/>
        <w:rPr>
          <w:rFonts w:ascii="Times" w:hAnsi="Times"/>
          <w:color w:val="000000" w:themeColor="text1"/>
          <w:sz w:val="24"/>
          <w:szCs w:val="24"/>
        </w:rPr>
      </w:pPr>
      <w:r w:rsidRPr="00FC2EE0">
        <w:rPr>
          <w:rFonts w:ascii="Times" w:hAnsi="Times"/>
          <w:color w:val="000000" w:themeColor="text1"/>
          <w:sz w:val="24"/>
          <w:szCs w:val="24"/>
        </w:rPr>
        <w:t>The implementation of appliance standards and retrofit policies in Mississippi’s commercial sector could reduce projected energy consumption in 2020 by about 1</w:t>
      </w:r>
      <w:r w:rsidR="00BB536F">
        <w:rPr>
          <w:rFonts w:ascii="Times" w:hAnsi="Times"/>
          <w:color w:val="000000" w:themeColor="text1"/>
          <w:sz w:val="24"/>
          <w:szCs w:val="24"/>
        </w:rPr>
        <w:t>1</w:t>
      </w:r>
      <w:r w:rsidRPr="00FC2EE0">
        <w:rPr>
          <w:rFonts w:ascii="Times" w:hAnsi="Times"/>
          <w:color w:val="000000" w:themeColor="text1"/>
          <w:sz w:val="24"/>
          <w:szCs w:val="24"/>
        </w:rPr>
        <w:t>% (15 TBtu), and by about 1</w:t>
      </w:r>
      <w:r w:rsidR="00BB536F">
        <w:rPr>
          <w:rFonts w:ascii="Times" w:hAnsi="Times"/>
          <w:color w:val="000000" w:themeColor="text1"/>
          <w:sz w:val="24"/>
          <w:szCs w:val="24"/>
        </w:rPr>
        <w:t>8</w:t>
      </w:r>
      <w:r w:rsidRPr="00FC2EE0">
        <w:rPr>
          <w:rFonts w:ascii="Times" w:hAnsi="Times"/>
          <w:color w:val="000000" w:themeColor="text1"/>
          <w:sz w:val="24"/>
          <w:szCs w:val="24"/>
        </w:rPr>
        <w:t xml:space="preserve">% (25 TBtu) in 2030 (Figure 8).  </w:t>
      </w:r>
      <w:r w:rsidR="006437A1">
        <w:rPr>
          <w:rFonts w:ascii="Times" w:hAnsi="Times"/>
          <w:color w:val="000000" w:themeColor="text1"/>
          <w:sz w:val="24"/>
          <w:szCs w:val="24"/>
        </w:rPr>
        <w:t xml:space="preserve">In 2020, the commercial sector could save about 25 TBtu, which is equivalent to the amount of energy that 416 Wal-Mart stores spend a year. Each </w:t>
      </w:r>
      <w:r w:rsidR="00714238">
        <w:rPr>
          <w:rFonts w:ascii="Times" w:hAnsi="Times"/>
          <w:color w:val="000000" w:themeColor="text1"/>
          <w:sz w:val="24"/>
          <w:szCs w:val="24"/>
        </w:rPr>
        <w:t xml:space="preserve">retail establishment </w:t>
      </w:r>
      <w:r w:rsidR="006437A1">
        <w:rPr>
          <w:rFonts w:ascii="Times" w:hAnsi="Times"/>
          <w:color w:val="000000" w:themeColor="text1"/>
          <w:sz w:val="24"/>
          <w:szCs w:val="24"/>
        </w:rPr>
        <w:t xml:space="preserve">in Mississippi could save about </w:t>
      </w:r>
      <w:r w:rsidRPr="00FC2EE0">
        <w:rPr>
          <w:rFonts w:ascii="Times" w:hAnsi="Times"/>
          <w:color w:val="000000" w:themeColor="text1"/>
          <w:sz w:val="24"/>
          <w:szCs w:val="24"/>
        </w:rPr>
        <w:t>$</w:t>
      </w:r>
      <w:r w:rsidR="00FC2EE0" w:rsidRPr="00FC2EE0">
        <w:rPr>
          <w:rFonts w:ascii="Times" w:hAnsi="Times"/>
          <w:color w:val="000000" w:themeColor="text1"/>
          <w:sz w:val="24"/>
          <w:szCs w:val="24"/>
        </w:rPr>
        <w:t>15,</w:t>
      </w:r>
      <w:r w:rsidR="007B0AF8">
        <w:rPr>
          <w:rFonts w:ascii="Times" w:hAnsi="Times"/>
          <w:color w:val="000000" w:themeColor="text1"/>
          <w:sz w:val="24"/>
          <w:szCs w:val="24"/>
        </w:rPr>
        <w:t>000</w:t>
      </w:r>
      <w:r w:rsidR="00714238">
        <w:rPr>
          <w:rFonts w:ascii="Times" w:hAnsi="Times"/>
          <w:color w:val="000000" w:themeColor="text1"/>
          <w:sz w:val="24"/>
          <w:szCs w:val="24"/>
        </w:rPr>
        <w:t>.</w:t>
      </w:r>
      <w:r w:rsidR="00FC2EE0" w:rsidRPr="00FC2EE0">
        <w:rPr>
          <w:rFonts w:ascii="Times New Roman" w:hAnsi="Times New Roman"/>
          <w:color w:val="000000" w:themeColor="text1"/>
          <w:sz w:val="24"/>
          <w:szCs w:val="23"/>
          <w:vertAlign w:val="superscript"/>
        </w:rPr>
        <w:t>9</w:t>
      </w:r>
      <w:r w:rsidRPr="00FC2EE0">
        <w:rPr>
          <w:rFonts w:ascii="Times" w:hAnsi="Times"/>
          <w:color w:val="000000" w:themeColor="text1"/>
          <w:sz w:val="24"/>
          <w:szCs w:val="24"/>
        </w:rPr>
        <w:t xml:space="preserve"> The principal energy savings are from electricity, with natural gas and other fuels providing additional savings (Figure 9).  The gradual growth of commercial energy consumption forecast for Mississippi could be constrained to almost no growth with these two energy</w:t>
      </w:r>
      <w:r w:rsidR="00714238">
        <w:rPr>
          <w:rFonts w:ascii="Times" w:hAnsi="Times"/>
          <w:color w:val="000000" w:themeColor="text1"/>
          <w:sz w:val="24"/>
          <w:szCs w:val="24"/>
        </w:rPr>
        <w:t>-</w:t>
      </w:r>
      <w:r w:rsidRPr="00FC2EE0">
        <w:rPr>
          <w:rFonts w:ascii="Times" w:hAnsi="Times"/>
          <w:color w:val="000000" w:themeColor="text1"/>
          <w:sz w:val="24"/>
          <w:szCs w:val="24"/>
        </w:rPr>
        <w:t xml:space="preserve">efficiency policies.  </w:t>
      </w:r>
    </w:p>
    <w:p w:rsidR="00E056A3" w:rsidRPr="00FC2EE0" w:rsidRDefault="00E056A3" w:rsidP="00075B5F">
      <w:pPr>
        <w:spacing w:after="0"/>
        <w:rPr>
          <w:rFonts w:ascii="Times" w:hAnsi="Times"/>
          <w:color w:val="000000" w:themeColor="text1"/>
          <w:sz w:val="24"/>
          <w:szCs w:val="24"/>
        </w:rPr>
      </w:pPr>
    </w:p>
    <w:tbl>
      <w:tblPr>
        <w:tblW w:w="10458" w:type="dxa"/>
        <w:tblLayout w:type="fixed"/>
        <w:tblLook w:val="04A0"/>
      </w:tblPr>
      <w:tblGrid>
        <w:gridCol w:w="4878"/>
        <w:gridCol w:w="5580"/>
      </w:tblGrid>
      <w:tr w:rsidR="000C3BE0" w:rsidRPr="00FC2EE0">
        <w:tc>
          <w:tcPr>
            <w:tcW w:w="4878" w:type="dxa"/>
          </w:tcPr>
          <w:p w:rsidR="000C3BE0" w:rsidRPr="00FC2EE0" w:rsidRDefault="00DA5C1C" w:rsidP="00075B5F">
            <w:pPr>
              <w:spacing w:after="0"/>
              <w:rPr>
                <w:rFonts w:ascii="Times" w:hAnsi="Times"/>
                <w:b/>
                <w:noProof/>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3114675" cy="2428875"/>
                  <wp:effectExtent l="0" t="0" r="0" b="0"/>
                  <wp:docPr id="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3BE0" w:rsidRPr="00FC2EE0" w:rsidRDefault="000C3BE0" w:rsidP="00075B5F">
            <w:pPr>
              <w:spacing w:after="0"/>
              <w:jc w:val="center"/>
              <w:rPr>
                <w:rFonts w:ascii="Times" w:hAnsi="Times"/>
                <w:b/>
                <w:color w:val="000000" w:themeColor="text1"/>
                <w:sz w:val="24"/>
                <w:szCs w:val="24"/>
              </w:rPr>
            </w:pPr>
            <w:r w:rsidRPr="00FC2EE0">
              <w:rPr>
                <w:rFonts w:ascii="Times" w:hAnsi="Times"/>
                <w:b/>
                <w:noProof/>
                <w:color w:val="000000" w:themeColor="text1"/>
                <w:sz w:val="24"/>
                <w:szCs w:val="24"/>
              </w:rPr>
              <w:t xml:space="preserve">Figure </w:t>
            </w:r>
            <w:r w:rsidR="00B36E1A" w:rsidRPr="00FC2EE0">
              <w:rPr>
                <w:rFonts w:ascii="Times" w:hAnsi="Times"/>
                <w:b/>
                <w:noProof/>
                <w:color w:val="000000" w:themeColor="text1"/>
                <w:sz w:val="24"/>
                <w:szCs w:val="24"/>
              </w:rPr>
              <w:t>8</w:t>
            </w:r>
            <w:r w:rsidRPr="00FC2EE0">
              <w:rPr>
                <w:rFonts w:ascii="Times" w:hAnsi="Times"/>
                <w:b/>
                <w:noProof/>
                <w:color w:val="000000" w:themeColor="text1"/>
                <w:sz w:val="24"/>
                <w:szCs w:val="24"/>
              </w:rPr>
              <w:t>: Commercial Sector Savings</w:t>
            </w:r>
          </w:p>
        </w:tc>
        <w:tc>
          <w:tcPr>
            <w:tcW w:w="5580" w:type="dxa"/>
          </w:tcPr>
          <w:p w:rsidR="000C3BE0" w:rsidRPr="00FC2EE0" w:rsidRDefault="00DA5C1C" w:rsidP="00075B5F">
            <w:pPr>
              <w:spacing w:after="0"/>
              <w:rPr>
                <w:rFonts w:ascii="Times" w:hAnsi="Times"/>
                <w:b/>
                <w:noProof/>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3114675" cy="242887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BE0" w:rsidRPr="00FC2EE0" w:rsidRDefault="000C3BE0" w:rsidP="00075B5F">
            <w:pPr>
              <w:spacing w:after="0"/>
              <w:jc w:val="center"/>
              <w:rPr>
                <w:rFonts w:ascii="Times" w:hAnsi="Times"/>
                <w:b/>
                <w:noProof/>
                <w:color w:val="000000" w:themeColor="text1"/>
                <w:sz w:val="24"/>
                <w:szCs w:val="24"/>
              </w:rPr>
            </w:pPr>
            <w:r w:rsidRPr="00FC2EE0">
              <w:rPr>
                <w:rFonts w:ascii="Times" w:hAnsi="Times"/>
                <w:b/>
                <w:noProof/>
                <w:color w:val="000000" w:themeColor="text1"/>
                <w:sz w:val="24"/>
                <w:szCs w:val="24"/>
              </w:rPr>
              <w:t xml:space="preserve">Figure </w:t>
            </w:r>
            <w:r w:rsidR="00B36E1A" w:rsidRPr="00FC2EE0">
              <w:rPr>
                <w:rFonts w:ascii="Times" w:hAnsi="Times"/>
                <w:b/>
                <w:noProof/>
                <w:color w:val="000000" w:themeColor="text1"/>
                <w:sz w:val="24"/>
                <w:szCs w:val="24"/>
              </w:rPr>
              <w:t>9</w:t>
            </w:r>
            <w:r w:rsidRPr="00FC2EE0">
              <w:rPr>
                <w:rFonts w:ascii="Times" w:hAnsi="Times"/>
                <w:b/>
                <w:noProof/>
                <w:color w:val="000000" w:themeColor="text1"/>
                <w:sz w:val="24"/>
                <w:szCs w:val="24"/>
              </w:rPr>
              <w:t>: Commercial Sector Savings by Fuel Type</w:t>
            </w:r>
          </w:p>
          <w:p w:rsidR="000C3BE0" w:rsidRPr="00FC2EE0" w:rsidRDefault="000C3BE0" w:rsidP="00075B5F">
            <w:pPr>
              <w:spacing w:after="0"/>
              <w:rPr>
                <w:rFonts w:ascii="Times" w:hAnsi="Times"/>
                <w:b/>
                <w:color w:val="000000" w:themeColor="text1"/>
                <w:sz w:val="24"/>
                <w:szCs w:val="24"/>
              </w:rPr>
            </w:pPr>
          </w:p>
        </w:tc>
      </w:tr>
    </w:tbl>
    <w:p w:rsidR="000808A7" w:rsidRPr="00FC2EE0" w:rsidRDefault="000808A7" w:rsidP="00075B5F">
      <w:pPr>
        <w:spacing w:after="0"/>
        <w:rPr>
          <w:rFonts w:ascii="Times" w:hAnsi="Times"/>
          <w:b/>
          <w:i/>
          <w:color w:val="000000" w:themeColor="text1"/>
          <w:sz w:val="24"/>
          <w:szCs w:val="24"/>
        </w:rPr>
      </w:pPr>
      <w:r w:rsidRPr="00FC2EE0">
        <w:rPr>
          <w:rFonts w:ascii="Times" w:hAnsi="Times"/>
          <w:b/>
          <w:i/>
          <w:color w:val="000000" w:themeColor="text1"/>
          <w:sz w:val="24"/>
          <w:szCs w:val="24"/>
        </w:rPr>
        <w:t>Industrial Sector</w:t>
      </w:r>
    </w:p>
    <w:p w:rsidR="00E056A3" w:rsidRPr="00FC2EE0" w:rsidRDefault="00E056A3" w:rsidP="00E056A3">
      <w:pPr>
        <w:spacing w:after="0"/>
        <w:rPr>
          <w:rFonts w:ascii="Times" w:hAnsi="Times"/>
          <w:color w:val="000000" w:themeColor="text1"/>
          <w:sz w:val="24"/>
          <w:szCs w:val="24"/>
        </w:rPr>
      </w:pPr>
      <w:r w:rsidRPr="00FC2EE0">
        <w:rPr>
          <w:rFonts w:ascii="Times" w:hAnsi="Times"/>
          <w:color w:val="000000" w:themeColor="text1"/>
          <w:sz w:val="24"/>
          <w:szCs w:val="24"/>
        </w:rPr>
        <w:t xml:space="preserve">The implementation of plant utility upgrades, process improvements, and combined heat and power policies in </w:t>
      </w:r>
      <w:r w:rsidR="004319EB" w:rsidRPr="00FC2EE0">
        <w:rPr>
          <w:rFonts w:ascii="Times" w:hAnsi="Times"/>
          <w:color w:val="000000" w:themeColor="text1"/>
          <w:sz w:val="24"/>
          <w:szCs w:val="24"/>
        </w:rPr>
        <w:t>Mississippi</w:t>
      </w:r>
      <w:r w:rsidRPr="00FC2EE0">
        <w:rPr>
          <w:rFonts w:ascii="Times" w:hAnsi="Times"/>
          <w:color w:val="000000" w:themeColor="text1"/>
          <w:sz w:val="24"/>
          <w:szCs w:val="24"/>
        </w:rPr>
        <w:t xml:space="preserve">’s industrial sector can reduce projected consumption by about </w:t>
      </w:r>
      <w:r w:rsidR="004319EB" w:rsidRPr="00FC2EE0">
        <w:rPr>
          <w:rFonts w:ascii="Times" w:hAnsi="Times"/>
          <w:color w:val="000000" w:themeColor="text1"/>
          <w:sz w:val="24"/>
          <w:szCs w:val="24"/>
        </w:rPr>
        <w:t>1</w:t>
      </w:r>
      <w:r w:rsidR="008074F6">
        <w:rPr>
          <w:rFonts w:ascii="Times" w:hAnsi="Times"/>
          <w:color w:val="000000" w:themeColor="text1"/>
          <w:sz w:val="24"/>
          <w:szCs w:val="24"/>
        </w:rPr>
        <w:t>8</w:t>
      </w:r>
      <w:r w:rsidRPr="00FC2EE0">
        <w:rPr>
          <w:rFonts w:ascii="Times" w:hAnsi="Times"/>
          <w:color w:val="000000" w:themeColor="text1"/>
          <w:sz w:val="24"/>
          <w:szCs w:val="24"/>
        </w:rPr>
        <w:t>% (8</w:t>
      </w:r>
      <w:r w:rsidR="008074F6">
        <w:rPr>
          <w:rFonts w:ascii="Times" w:hAnsi="Times"/>
          <w:color w:val="000000" w:themeColor="text1"/>
          <w:sz w:val="24"/>
          <w:szCs w:val="24"/>
        </w:rPr>
        <w:t>4</w:t>
      </w:r>
      <w:r w:rsidRPr="00FC2EE0">
        <w:rPr>
          <w:rFonts w:ascii="Times" w:hAnsi="Times"/>
          <w:color w:val="000000" w:themeColor="text1"/>
          <w:sz w:val="24"/>
          <w:szCs w:val="24"/>
        </w:rPr>
        <w:t xml:space="preserve"> TBtu) in 2020 and </w:t>
      </w:r>
      <w:r w:rsidR="008074F6">
        <w:rPr>
          <w:rFonts w:ascii="Times" w:hAnsi="Times"/>
          <w:color w:val="000000" w:themeColor="text1"/>
          <w:sz w:val="24"/>
          <w:szCs w:val="24"/>
        </w:rPr>
        <w:t>31</w:t>
      </w:r>
      <w:r w:rsidRPr="00FC2EE0">
        <w:rPr>
          <w:rFonts w:ascii="Times" w:hAnsi="Times"/>
          <w:color w:val="000000" w:themeColor="text1"/>
          <w:sz w:val="24"/>
          <w:szCs w:val="24"/>
        </w:rPr>
        <w:t>% (1</w:t>
      </w:r>
      <w:r w:rsidR="008074F6">
        <w:rPr>
          <w:rFonts w:ascii="Times" w:hAnsi="Times"/>
          <w:color w:val="000000" w:themeColor="text1"/>
          <w:sz w:val="24"/>
          <w:szCs w:val="24"/>
        </w:rPr>
        <w:t>46</w:t>
      </w:r>
      <w:r w:rsidRPr="00FC2EE0">
        <w:rPr>
          <w:rFonts w:ascii="Times" w:hAnsi="Times"/>
          <w:color w:val="000000" w:themeColor="text1"/>
          <w:sz w:val="24"/>
          <w:szCs w:val="24"/>
        </w:rPr>
        <w:t xml:space="preserve"> TBtu) in 2030 (Figure 10).  The industrial energy required by about </w:t>
      </w:r>
      <w:r w:rsidR="00661D3E">
        <w:rPr>
          <w:rFonts w:ascii="Times" w:hAnsi="Times"/>
          <w:color w:val="000000" w:themeColor="text1"/>
          <w:sz w:val="24"/>
          <w:szCs w:val="24"/>
        </w:rPr>
        <w:t>121</w:t>
      </w:r>
      <w:r w:rsidRPr="00FC2EE0">
        <w:rPr>
          <w:rFonts w:ascii="Times" w:hAnsi="Times"/>
          <w:color w:val="000000" w:themeColor="text1"/>
          <w:sz w:val="24"/>
          <w:szCs w:val="24"/>
        </w:rPr>
        <w:t xml:space="preserve"> average industrial facilities </w:t>
      </w:r>
      <w:r w:rsidR="00714238">
        <w:rPr>
          <w:rFonts w:ascii="Times" w:hAnsi="Times"/>
          <w:color w:val="000000" w:themeColor="text1"/>
          <w:sz w:val="24"/>
          <w:szCs w:val="24"/>
        </w:rPr>
        <w:t>could be</w:t>
      </w:r>
      <w:r w:rsidR="00714238" w:rsidRPr="00FC2EE0">
        <w:rPr>
          <w:rFonts w:ascii="Times" w:hAnsi="Times"/>
          <w:color w:val="000000" w:themeColor="text1"/>
          <w:sz w:val="24"/>
          <w:szCs w:val="24"/>
        </w:rPr>
        <w:t xml:space="preserve"> </w:t>
      </w:r>
      <w:r w:rsidRPr="00FC2EE0">
        <w:rPr>
          <w:rFonts w:ascii="Times" w:hAnsi="Times"/>
          <w:color w:val="000000" w:themeColor="text1"/>
          <w:sz w:val="24"/>
          <w:szCs w:val="24"/>
        </w:rPr>
        <w:t>avoided in 2020, or about $</w:t>
      </w:r>
      <w:r w:rsidR="00005485">
        <w:rPr>
          <w:rFonts w:ascii="Times" w:hAnsi="Times"/>
          <w:color w:val="000000" w:themeColor="text1"/>
          <w:sz w:val="24"/>
          <w:szCs w:val="24"/>
        </w:rPr>
        <w:t>97,600</w:t>
      </w:r>
      <w:r w:rsidRPr="00FC2EE0">
        <w:rPr>
          <w:rFonts w:ascii="Times" w:hAnsi="Times"/>
          <w:color w:val="000000" w:themeColor="text1"/>
          <w:sz w:val="24"/>
          <w:szCs w:val="24"/>
        </w:rPr>
        <w:t xml:space="preserve"> </w:t>
      </w:r>
      <w:r w:rsidR="00005485">
        <w:rPr>
          <w:rFonts w:ascii="Times" w:hAnsi="Times"/>
          <w:color w:val="000000" w:themeColor="text1"/>
          <w:sz w:val="24"/>
          <w:szCs w:val="24"/>
        </w:rPr>
        <w:t xml:space="preserve">average annual savings </w:t>
      </w:r>
      <w:r w:rsidRPr="00FC2EE0">
        <w:rPr>
          <w:rFonts w:ascii="Times" w:hAnsi="Times"/>
          <w:color w:val="000000" w:themeColor="text1"/>
          <w:sz w:val="24"/>
          <w:szCs w:val="24"/>
        </w:rPr>
        <w:t xml:space="preserve">per industrial facility.  The principal energy savings are from </w:t>
      </w:r>
      <w:r w:rsidR="004319EB" w:rsidRPr="00FC2EE0">
        <w:rPr>
          <w:rFonts w:ascii="Times" w:hAnsi="Times"/>
          <w:color w:val="000000" w:themeColor="text1"/>
          <w:sz w:val="24"/>
          <w:szCs w:val="24"/>
        </w:rPr>
        <w:t xml:space="preserve">natural gas and electricity </w:t>
      </w:r>
      <w:r w:rsidRPr="00FC2EE0">
        <w:rPr>
          <w:rFonts w:ascii="Times" w:hAnsi="Times"/>
          <w:color w:val="000000" w:themeColor="text1"/>
          <w:sz w:val="24"/>
          <w:szCs w:val="24"/>
        </w:rPr>
        <w:t>savings</w:t>
      </w:r>
      <w:r w:rsidR="007B0AF8">
        <w:rPr>
          <w:rFonts w:ascii="Times" w:hAnsi="Times"/>
          <w:color w:val="000000" w:themeColor="text1"/>
          <w:sz w:val="24"/>
          <w:szCs w:val="24"/>
        </w:rPr>
        <w:t xml:space="preserve"> but other fuels could </w:t>
      </w:r>
      <w:r w:rsidRPr="00FC2EE0">
        <w:rPr>
          <w:rFonts w:ascii="Times" w:hAnsi="Times"/>
          <w:color w:val="000000" w:themeColor="text1"/>
          <w:sz w:val="24"/>
          <w:szCs w:val="24"/>
        </w:rPr>
        <w:t xml:space="preserve">also </w:t>
      </w:r>
      <w:r w:rsidR="007B0AF8">
        <w:rPr>
          <w:rFonts w:ascii="Times" w:hAnsi="Times"/>
          <w:color w:val="000000" w:themeColor="text1"/>
          <w:sz w:val="24"/>
          <w:szCs w:val="24"/>
        </w:rPr>
        <w:t xml:space="preserve">be saved, reflecting the diversity of fuels used by the state’s industries </w:t>
      </w:r>
      <w:r w:rsidRPr="00FC2EE0">
        <w:rPr>
          <w:rFonts w:ascii="Times" w:hAnsi="Times"/>
          <w:color w:val="000000" w:themeColor="text1"/>
          <w:sz w:val="24"/>
          <w:szCs w:val="24"/>
        </w:rPr>
        <w:t>(Figure 11).  These three energy efficiency policies could significantly reduce the growing consumption of industrial energy over the next two decades</w:t>
      </w:r>
      <w:r w:rsidR="004319EB" w:rsidRPr="00FC2EE0">
        <w:rPr>
          <w:rFonts w:ascii="Times" w:hAnsi="Times"/>
          <w:color w:val="000000" w:themeColor="text1"/>
          <w:sz w:val="24"/>
          <w:szCs w:val="24"/>
        </w:rPr>
        <w:t xml:space="preserve"> and drop the state’s energy consumption to below its 2010 levels by 2030</w:t>
      </w:r>
      <w:r w:rsidR="00C36F63">
        <w:rPr>
          <w:rFonts w:ascii="Times" w:hAnsi="Times"/>
          <w:color w:val="000000" w:themeColor="text1"/>
          <w:sz w:val="24"/>
          <w:szCs w:val="24"/>
        </w:rPr>
        <w:t>.</w:t>
      </w:r>
    </w:p>
    <w:p w:rsidR="00E056A3" w:rsidRPr="00FC2EE0" w:rsidRDefault="00E056A3" w:rsidP="00075B5F">
      <w:pPr>
        <w:spacing w:after="0"/>
        <w:rPr>
          <w:rFonts w:ascii="Times" w:hAnsi="Times"/>
          <w:b/>
          <w:i/>
          <w:color w:val="000000" w:themeColor="text1"/>
          <w:sz w:val="24"/>
          <w:szCs w:val="24"/>
        </w:rPr>
      </w:pPr>
    </w:p>
    <w:tbl>
      <w:tblPr>
        <w:tblW w:w="10548" w:type="dxa"/>
        <w:tblLayout w:type="fixed"/>
        <w:tblLook w:val="04A0"/>
      </w:tblPr>
      <w:tblGrid>
        <w:gridCol w:w="4878"/>
        <w:gridCol w:w="5670"/>
      </w:tblGrid>
      <w:tr w:rsidR="000C3BE0" w:rsidRPr="00FC2EE0">
        <w:tc>
          <w:tcPr>
            <w:tcW w:w="4878" w:type="dxa"/>
          </w:tcPr>
          <w:p w:rsidR="000C3BE0" w:rsidRPr="00FC2EE0" w:rsidRDefault="00DA5C1C" w:rsidP="00075B5F">
            <w:pPr>
              <w:spacing w:after="0"/>
              <w:rPr>
                <w:rFonts w:ascii="Times" w:hAnsi="Times"/>
                <w:b/>
                <w:noProof/>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3048000" cy="1828800"/>
                  <wp:effectExtent l="0" t="0" r="0" b="0"/>
                  <wp:docPr id="3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3BE0" w:rsidRPr="00FC2EE0" w:rsidRDefault="000C3BE0" w:rsidP="00075B5F">
            <w:pPr>
              <w:spacing w:after="0"/>
              <w:jc w:val="center"/>
              <w:rPr>
                <w:rFonts w:ascii="Times" w:hAnsi="Times"/>
                <w:b/>
                <w:color w:val="000000" w:themeColor="text1"/>
                <w:sz w:val="24"/>
                <w:szCs w:val="24"/>
              </w:rPr>
            </w:pPr>
            <w:r w:rsidRPr="00FC2EE0">
              <w:rPr>
                <w:rFonts w:ascii="Times" w:hAnsi="Times"/>
                <w:b/>
                <w:noProof/>
                <w:color w:val="000000" w:themeColor="text1"/>
                <w:sz w:val="24"/>
                <w:szCs w:val="24"/>
              </w:rPr>
              <w:t xml:space="preserve">Figure </w:t>
            </w:r>
            <w:r w:rsidR="006437A1">
              <w:rPr>
                <w:rFonts w:ascii="Times" w:hAnsi="Times"/>
                <w:b/>
                <w:noProof/>
                <w:color w:val="000000" w:themeColor="text1"/>
                <w:sz w:val="24"/>
                <w:szCs w:val="24"/>
              </w:rPr>
              <w:t>10</w:t>
            </w:r>
            <w:r w:rsidRPr="00FC2EE0">
              <w:rPr>
                <w:rFonts w:ascii="Times" w:hAnsi="Times"/>
                <w:b/>
                <w:noProof/>
                <w:color w:val="000000" w:themeColor="text1"/>
                <w:sz w:val="24"/>
                <w:szCs w:val="24"/>
              </w:rPr>
              <w:t xml:space="preserve">: </w:t>
            </w:r>
            <w:r w:rsidRPr="00FC2EE0">
              <w:rPr>
                <w:rFonts w:ascii="Times" w:hAnsi="Times"/>
                <w:b/>
                <w:color w:val="000000" w:themeColor="text1"/>
                <w:sz w:val="24"/>
                <w:szCs w:val="24"/>
              </w:rPr>
              <w:t>Industrial</w:t>
            </w:r>
            <w:r w:rsidRPr="00FC2EE0">
              <w:rPr>
                <w:rFonts w:ascii="Times" w:hAnsi="Times"/>
                <w:color w:val="000000" w:themeColor="text1"/>
                <w:sz w:val="24"/>
                <w:szCs w:val="24"/>
              </w:rPr>
              <w:t xml:space="preserve"> </w:t>
            </w:r>
            <w:r w:rsidRPr="00FC2EE0">
              <w:rPr>
                <w:rFonts w:ascii="Times" w:hAnsi="Times"/>
                <w:b/>
                <w:noProof/>
                <w:color w:val="000000" w:themeColor="text1"/>
                <w:sz w:val="24"/>
                <w:szCs w:val="24"/>
              </w:rPr>
              <w:t>Sector Savings</w:t>
            </w:r>
          </w:p>
        </w:tc>
        <w:tc>
          <w:tcPr>
            <w:tcW w:w="5670" w:type="dxa"/>
          </w:tcPr>
          <w:p w:rsidR="000C3BE0" w:rsidRPr="00FC2EE0" w:rsidRDefault="00DA5C1C" w:rsidP="00075B5F">
            <w:pPr>
              <w:spacing w:after="0"/>
              <w:rPr>
                <w:rFonts w:ascii="Times" w:hAnsi="Times"/>
                <w:b/>
                <w:noProof/>
                <w:color w:val="000000" w:themeColor="text1"/>
                <w:sz w:val="24"/>
                <w:szCs w:val="24"/>
              </w:rPr>
            </w:pPr>
            <w:r w:rsidRPr="00FC2EE0">
              <w:rPr>
                <w:rFonts w:ascii="Times" w:hAnsi="Times"/>
                <w:b/>
                <w:noProof/>
                <w:color w:val="000000" w:themeColor="text1"/>
                <w:sz w:val="24"/>
                <w:szCs w:val="24"/>
                <w:lang w:eastAsia="en-US"/>
              </w:rPr>
              <w:drawing>
                <wp:inline distT="0" distB="0" distL="0" distR="0">
                  <wp:extent cx="3095625" cy="1771650"/>
                  <wp:effectExtent l="0" t="0" r="0" b="0"/>
                  <wp:docPr id="36"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3BE0" w:rsidRPr="00FC2EE0" w:rsidRDefault="000C3BE0" w:rsidP="00075B5F">
            <w:pPr>
              <w:spacing w:after="0"/>
              <w:jc w:val="center"/>
              <w:rPr>
                <w:rFonts w:ascii="Times" w:hAnsi="Times"/>
                <w:b/>
                <w:noProof/>
                <w:color w:val="000000" w:themeColor="text1"/>
                <w:sz w:val="24"/>
                <w:szCs w:val="24"/>
              </w:rPr>
            </w:pPr>
            <w:r w:rsidRPr="00FC2EE0">
              <w:rPr>
                <w:rFonts w:ascii="Times" w:hAnsi="Times"/>
                <w:b/>
                <w:noProof/>
                <w:color w:val="000000" w:themeColor="text1"/>
                <w:sz w:val="24"/>
                <w:szCs w:val="24"/>
              </w:rPr>
              <w:t xml:space="preserve">Figure </w:t>
            </w:r>
            <w:r w:rsidR="006437A1">
              <w:rPr>
                <w:rFonts w:ascii="Times" w:hAnsi="Times"/>
                <w:b/>
                <w:noProof/>
                <w:color w:val="000000" w:themeColor="text1"/>
                <w:sz w:val="24"/>
                <w:szCs w:val="24"/>
              </w:rPr>
              <w:t>11</w:t>
            </w:r>
            <w:r w:rsidRPr="00FC2EE0">
              <w:rPr>
                <w:rFonts w:ascii="Times" w:hAnsi="Times"/>
                <w:b/>
                <w:noProof/>
                <w:color w:val="000000" w:themeColor="text1"/>
                <w:sz w:val="24"/>
                <w:szCs w:val="24"/>
              </w:rPr>
              <w:t xml:space="preserve">: </w:t>
            </w:r>
            <w:r w:rsidRPr="00FC2EE0">
              <w:rPr>
                <w:rFonts w:ascii="Times" w:hAnsi="Times"/>
                <w:b/>
                <w:color w:val="000000" w:themeColor="text1"/>
                <w:sz w:val="24"/>
                <w:szCs w:val="24"/>
              </w:rPr>
              <w:t>Industrial</w:t>
            </w:r>
            <w:r w:rsidRPr="00FC2EE0">
              <w:rPr>
                <w:rFonts w:ascii="Times" w:hAnsi="Times"/>
                <w:color w:val="000000" w:themeColor="text1"/>
                <w:sz w:val="24"/>
                <w:szCs w:val="24"/>
              </w:rPr>
              <w:t xml:space="preserve"> </w:t>
            </w:r>
            <w:r w:rsidRPr="00FC2EE0">
              <w:rPr>
                <w:rFonts w:ascii="Times" w:hAnsi="Times"/>
                <w:b/>
                <w:noProof/>
                <w:color w:val="000000" w:themeColor="text1"/>
                <w:sz w:val="24"/>
                <w:szCs w:val="24"/>
              </w:rPr>
              <w:t>Sector Savings by Fuel Type</w:t>
            </w:r>
          </w:p>
          <w:p w:rsidR="000C3BE0" w:rsidRPr="00FC2EE0" w:rsidRDefault="000C3BE0" w:rsidP="00075B5F">
            <w:pPr>
              <w:spacing w:after="0"/>
              <w:rPr>
                <w:rFonts w:ascii="Times" w:hAnsi="Times"/>
                <w:b/>
                <w:color w:val="000000" w:themeColor="text1"/>
                <w:sz w:val="24"/>
                <w:szCs w:val="24"/>
              </w:rPr>
            </w:pPr>
          </w:p>
        </w:tc>
      </w:tr>
    </w:tbl>
    <w:p w:rsidR="00C36F63" w:rsidRDefault="00C36F63" w:rsidP="004319EB">
      <w:pPr>
        <w:spacing w:after="0" w:line="240" w:lineRule="auto"/>
        <w:rPr>
          <w:rFonts w:ascii="Times New Roman" w:hAnsi="Times New Roman"/>
          <w:b/>
          <w:color w:val="000000" w:themeColor="text1"/>
          <w:sz w:val="24"/>
        </w:rPr>
      </w:pPr>
    </w:p>
    <w:p w:rsidR="004319EB" w:rsidRPr="00FC2EE0" w:rsidRDefault="004319EB" w:rsidP="004319EB">
      <w:pPr>
        <w:spacing w:after="0" w:line="240" w:lineRule="auto"/>
        <w:rPr>
          <w:rFonts w:ascii="Times New Roman" w:hAnsi="Times New Roman"/>
          <w:b/>
          <w:color w:val="000000" w:themeColor="text1"/>
          <w:sz w:val="24"/>
          <w:szCs w:val="24"/>
        </w:rPr>
      </w:pPr>
      <w:r w:rsidRPr="00FC2EE0">
        <w:rPr>
          <w:rFonts w:ascii="Times New Roman" w:hAnsi="Times New Roman"/>
          <w:b/>
          <w:color w:val="000000" w:themeColor="text1"/>
          <w:sz w:val="24"/>
        </w:rPr>
        <w:t>Efficient Technology Opportunities</w:t>
      </w:r>
    </w:p>
    <w:p w:rsidR="004319EB" w:rsidRPr="00FC2EE0" w:rsidRDefault="004319EB" w:rsidP="004319EB">
      <w:pPr>
        <w:pStyle w:val="Default"/>
        <w:spacing w:line="276" w:lineRule="auto"/>
        <w:rPr>
          <w:color w:val="000000" w:themeColor="text1"/>
        </w:rPr>
      </w:pPr>
      <w:r w:rsidRPr="00FC2EE0">
        <w:rPr>
          <w:color w:val="000000" w:themeColor="text1"/>
        </w:rPr>
        <w:t xml:space="preserve">The projected energy-efficiency potential can be realized through an array of new and existing technologies.  </w:t>
      </w:r>
      <w:r w:rsidRPr="00FC2EE0">
        <w:rPr>
          <w:i/>
          <w:color w:val="000000" w:themeColor="text1"/>
        </w:rPr>
        <w:t xml:space="preserve">Energy Efficiency in the South </w:t>
      </w:r>
      <w:r w:rsidRPr="00FC2EE0">
        <w:rPr>
          <w:color w:val="000000" w:themeColor="text1"/>
        </w:rPr>
        <w:t>describes a number of these.</w:t>
      </w:r>
      <w:r w:rsidR="00FC2EE0" w:rsidRPr="00FC2EE0">
        <w:rPr>
          <w:color w:val="000000" w:themeColor="text1"/>
          <w:szCs w:val="23"/>
          <w:vertAlign w:val="superscript"/>
        </w:rPr>
        <w:t xml:space="preserve"> 10</w:t>
      </w:r>
    </w:p>
    <w:p w:rsidR="004319EB" w:rsidRPr="00FC2EE0" w:rsidRDefault="004319EB" w:rsidP="004319EB">
      <w:pPr>
        <w:pStyle w:val="Default"/>
        <w:tabs>
          <w:tab w:val="left" w:pos="900"/>
        </w:tabs>
        <w:spacing w:line="276" w:lineRule="auto"/>
        <w:rPr>
          <w:color w:val="000000" w:themeColor="text1"/>
        </w:rPr>
      </w:pPr>
      <w:r w:rsidRPr="00FC2EE0">
        <w:rPr>
          <w:color w:val="000000" w:themeColor="text1"/>
        </w:rPr>
        <w:tab/>
      </w:r>
    </w:p>
    <w:p w:rsidR="004319EB" w:rsidRPr="00FC2EE0" w:rsidRDefault="004319EB" w:rsidP="004319EB">
      <w:pPr>
        <w:pStyle w:val="Default"/>
        <w:spacing w:line="276" w:lineRule="auto"/>
        <w:rPr>
          <w:color w:val="000000" w:themeColor="text1"/>
        </w:rPr>
      </w:pPr>
      <w:r w:rsidRPr="00FC2EE0">
        <w:rPr>
          <w:color w:val="000000" w:themeColor="text1"/>
        </w:rPr>
        <w:t xml:space="preserve">Emerging residential products can provide greater energy savings without sacrificing performance.  For instance, currently available heat pump water heaters can cut annual energy costs for water heating from 50-62% and pay back upfront costs within three years.  </w:t>
      </w:r>
    </w:p>
    <w:p w:rsidR="004319EB" w:rsidRPr="00FC2EE0" w:rsidRDefault="004319EB" w:rsidP="004319EB">
      <w:pPr>
        <w:pStyle w:val="Default"/>
        <w:spacing w:line="276" w:lineRule="auto"/>
        <w:rPr>
          <w:color w:val="000000" w:themeColor="text1"/>
        </w:rPr>
      </w:pPr>
    </w:p>
    <w:p w:rsidR="004319EB" w:rsidRPr="00FC2EE0" w:rsidRDefault="004319EB" w:rsidP="004319EB">
      <w:pPr>
        <w:pStyle w:val="Default"/>
        <w:spacing w:line="276" w:lineRule="auto"/>
        <w:rPr>
          <w:color w:val="000000" w:themeColor="text1"/>
        </w:rPr>
      </w:pPr>
      <w:r w:rsidRPr="00FC2EE0">
        <w:rPr>
          <w:color w:val="000000" w:themeColor="text1"/>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 benefits over time.</w:t>
      </w:r>
      <w:r w:rsidR="00FC2EE0" w:rsidRPr="00FC2EE0">
        <w:rPr>
          <w:color w:val="000000" w:themeColor="text1"/>
          <w:szCs w:val="23"/>
          <w:vertAlign w:val="superscript"/>
        </w:rPr>
        <w:t xml:space="preserve"> 11</w:t>
      </w:r>
    </w:p>
    <w:p w:rsidR="004319EB" w:rsidRPr="00FC2EE0" w:rsidRDefault="004319EB" w:rsidP="004319EB">
      <w:pPr>
        <w:pStyle w:val="HTMLPreformatted"/>
        <w:spacing w:line="276" w:lineRule="auto"/>
        <w:rPr>
          <w:rFonts w:ascii="Times New Roman" w:eastAsia="SimSun" w:hAnsi="Times New Roman" w:cs="Times New Roman"/>
          <w:color w:val="000000" w:themeColor="text1"/>
          <w:sz w:val="24"/>
          <w:szCs w:val="24"/>
          <w:lang w:eastAsia="zh-CN"/>
        </w:rPr>
      </w:pPr>
    </w:p>
    <w:p w:rsidR="00714238" w:rsidRDefault="004319EB" w:rsidP="004319EB">
      <w:pPr>
        <w:pStyle w:val="HTMLPreformatted"/>
        <w:spacing w:line="276" w:lineRule="auto"/>
        <w:rPr>
          <w:rFonts w:ascii="Times" w:hAnsi="Times"/>
          <w:color w:val="000000" w:themeColor="text1"/>
          <w:sz w:val="24"/>
        </w:rPr>
      </w:pPr>
      <w:r w:rsidRPr="00FC2EE0">
        <w:rPr>
          <w:rFonts w:ascii="Times" w:hAnsi="Times"/>
          <w:color w:val="000000" w:themeColor="text1"/>
          <w:sz w:val="24"/>
        </w:rPr>
        <w:t xml:space="preserve">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  </w:t>
      </w:r>
    </w:p>
    <w:p w:rsidR="00714238" w:rsidRDefault="00714238" w:rsidP="004319EB">
      <w:pPr>
        <w:pStyle w:val="HTMLPreformatted"/>
        <w:spacing w:line="276" w:lineRule="auto"/>
        <w:rPr>
          <w:rFonts w:ascii="Times" w:hAnsi="Times"/>
          <w:color w:val="000000" w:themeColor="text1"/>
          <w:sz w:val="24"/>
        </w:rPr>
      </w:pPr>
    </w:p>
    <w:p w:rsidR="004319EB" w:rsidRPr="00FC2EE0" w:rsidRDefault="004319EB" w:rsidP="004319EB">
      <w:pPr>
        <w:pStyle w:val="HTMLPreformatted"/>
        <w:spacing w:line="276" w:lineRule="auto"/>
        <w:rPr>
          <w:rFonts w:ascii="Times" w:hAnsi="Times"/>
          <w:color w:val="000000" w:themeColor="text1"/>
          <w:sz w:val="24"/>
        </w:rPr>
      </w:pPr>
      <w:r w:rsidRPr="00FC2EE0">
        <w:rPr>
          <w:rFonts w:ascii="Times New Roman" w:hAnsi="Times New Roman"/>
          <w:color w:val="000000" w:themeColor="text1"/>
          <w:sz w:val="24"/>
          <w:szCs w:val="24"/>
        </w:rPr>
        <w:t xml:space="preserve">These technologies are illustrative.  Please refer to </w:t>
      </w:r>
      <w:r w:rsidRPr="00FC2EE0">
        <w:rPr>
          <w:rFonts w:ascii="Times New Roman" w:hAnsi="Times New Roman"/>
          <w:i/>
          <w:color w:val="000000" w:themeColor="text1"/>
          <w:sz w:val="24"/>
          <w:szCs w:val="24"/>
        </w:rPr>
        <w:t>Energy Efficiency in the South</w:t>
      </w:r>
      <w:r w:rsidRPr="00FC2EE0">
        <w:rPr>
          <w:rFonts w:ascii="Times New Roman" w:hAnsi="Times New Roman"/>
          <w:color w:val="000000" w:themeColor="text1"/>
          <w:sz w:val="24"/>
          <w:szCs w:val="24"/>
        </w:rPr>
        <w:t xml:space="preserve"> by Brown et al. for additional technology descriptions and examples.</w:t>
      </w:r>
      <w:r w:rsidR="00FC2EE0" w:rsidRPr="00FC2EE0">
        <w:rPr>
          <w:rFonts w:ascii="Times New Roman" w:hAnsi="Times New Roman"/>
          <w:color w:val="000000" w:themeColor="text1"/>
          <w:sz w:val="24"/>
          <w:szCs w:val="23"/>
          <w:vertAlign w:val="superscript"/>
        </w:rPr>
        <w:t xml:space="preserve"> 12</w:t>
      </w:r>
    </w:p>
    <w:p w:rsidR="004319EB" w:rsidRPr="00FC2EE0" w:rsidRDefault="004319EB" w:rsidP="004319EB">
      <w:pPr>
        <w:spacing w:after="0"/>
        <w:rPr>
          <w:rFonts w:ascii="Times" w:hAnsi="Times"/>
          <w:b/>
          <w:color w:val="000000" w:themeColor="text1"/>
          <w:sz w:val="24"/>
          <w:szCs w:val="24"/>
        </w:rPr>
      </w:pPr>
    </w:p>
    <w:p w:rsidR="004435F2" w:rsidRPr="007F6E77" w:rsidRDefault="004435F2" w:rsidP="004435F2">
      <w:pPr>
        <w:spacing w:after="0" w:line="240" w:lineRule="auto"/>
        <w:rPr>
          <w:rFonts w:ascii="Times" w:hAnsi="Times"/>
          <w:b/>
          <w:sz w:val="24"/>
          <w:szCs w:val="24"/>
        </w:rPr>
      </w:pPr>
      <w:r w:rsidRPr="007F6E77">
        <w:rPr>
          <w:rFonts w:ascii="Times" w:hAnsi="Times"/>
          <w:b/>
          <w:sz w:val="24"/>
          <w:szCs w:val="24"/>
        </w:rPr>
        <w:t>Economic and Financial Impacts</w:t>
      </w:r>
    </w:p>
    <w:p w:rsidR="004435F2" w:rsidRDefault="00811133" w:rsidP="004435F2">
      <w:pPr>
        <w:spacing w:after="0"/>
        <w:rPr>
          <w:rFonts w:ascii="Times" w:hAnsi="Times"/>
          <w:color w:val="000000"/>
          <w:sz w:val="24"/>
          <w:szCs w:val="24"/>
        </w:rPr>
      </w:pPr>
      <w:r w:rsidRPr="00C36F63">
        <w:rPr>
          <w:rFonts w:ascii="Times" w:hAnsi="Times"/>
          <w:color w:val="000000"/>
        </w:rPr>
        <w:t xml:space="preserve">The nine energy efficiency policies evaluated in </w:t>
      </w:r>
      <w:r w:rsidRPr="00C36F63">
        <w:rPr>
          <w:rFonts w:ascii="Times" w:hAnsi="Times"/>
          <w:i/>
          <w:color w:val="000000"/>
        </w:rPr>
        <w:t>Energy Efficiency in the South</w:t>
      </w:r>
      <w:r w:rsidRPr="00C36F63">
        <w:rPr>
          <w:rFonts w:ascii="Times" w:hAnsi="Times"/>
          <w:color w:val="000000"/>
        </w:rPr>
        <w:t xml:space="preserve"> would reduce energy costs for Mississippi consumers and would generate jobs in the State (Table 1). </w:t>
      </w:r>
      <w:r>
        <w:rPr>
          <w:rFonts w:ascii="Times" w:hAnsi="Times" w:hint="eastAsia"/>
          <w:color w:val="000000"/>
        </w:rPr>
        <w:t>R</w:t>
      </w:r>
      <w:r w:rsidRPr="005A0019">
        <w:rPr>
          <w:rFonts w:ascii="Times" w:hAnsi="Times"/>
          <w:color w:val="000000"/>
        </w:rPr>
        <w:t xml:space="preserve">esidential, commercial and industrial consumers could benefit from </w:t>
      </w:r>
      <w:r>
        <w:rPr>
          <w:rFonts w:ascii="Times" w:hAnsi="Times" w:hint="eastAsia"/>
          <w:color w:val="000000"/>
        </w:rPr>
        <w:t xml:space="preserve">total energy </w:t>
      </w:r>
      <w:r w:rsidRPr="005A0019">
        <w:rPr>
          <w:rFonts w:ascii="Times" w:hAnsi="Times"/>
          <w:color w:val="000000"/>
        </w:rPr>
        <w:t xml:space="preserve">savings of </w:t>
      </w:r>
      <w:r>
        <w:rPr>
          <w:rFonts w:ascii="Times" w:hAnsi="Times" w:hint="eastAsia"/>
          <w:color w:val="000000"/>
        </w:rPr>
        <w:t>$0.7 billion</w:t>
      </w:r>
      <w:r w:rsidRPr="00691182">
        <w:rPr>
          <w:rFonts w:ascii="Times" w:hAnsi="Times"/>
          <w:color w:val="000000"/>
        </w:rPr>
        <w:t xml:space="preserve"> </w:t>
      </w:r>
      <w:r w:rsidRPr="005A0019">
        <w:rPr>
          <w:rFonts w:ascii="Times" w:hAnsi="Times"/>
          <w:color w:val="000000"/>
        </w:rPr>
        <w:t>in 2020</w:t>
      </w:r>
      <w:r>
        <w:rPr>
          <w:rFonts w:ascii="Times" w:hAnsi="Times" w:hint="eastAsia"/>
          <w:color w:val="000000"/>
        </w:rPr>
        <w:t xml:space="preserve"> (</w:t>
      </w:r>
      <w:r w:rsidRPr="005A0019">
        <w:rPr>
          <w:rFonts w:ascii="Times" w:hAnsi="Times"/>
          <w:color w:val="000000"/>
        </w:rPr>
        <w:t>$</w:t>
      </w:r>
      <w:r>
        <w:rPr>
          <w:rFonts w:ascii="Times" w:hAnsi="Times" w:hint="eastAsia"/>
          <w:color w:val="000000"/>
        </w:rPr>
        <w:t>0.5</w:t>
      </w:r>
      <w:r w:rsidRPr="005A0019">
        <w:rPr>
          <w:rFonts w:ascii="Times" w:hAnsi="Times"/>
          <w:color w:val="000000"/>
        </w:rPr>
        <w:t xml:space="preserve"> billion</w:t>
      </w:r>
      <w:r>
        <w:rPr>
          <w:rFonts w:ascii="Times" w:hAnsi="Times" w:hint="eastAsia"/>
          <w:color w:val="000000"/>
        </w:rPr>
        <w:t xml:space="preserve"> of which is specific to </w:t>
      </w:r>
      <w:r w:rsidRPr="005A0019">
        <w:rPr>
          <w:rFonts w:ascii="Times" w:hAnsi="Times"/>
          <w:color w:val="000000"/>
        </w:rPr>
        <w:t>electricity</w:t>
      </w:r>
      <w:r>
        <w:rPr>
          <w:rFonts w:ascii="Times" w:hAnsi="Times" w:hint="eastAsia"/>
          <w:color w:val="000000"/>
        </w:rPr>
        <w:t>)</w:t>
      </w:r>
      <w:r w:rsidRPr="005A0019">
        <w:rPr>
          <w:rFonts w:ascii="Times" w:hAnsi="Times"/>
          <w:color w:val="000000"/>
        </w:rPr>
        <w:t xml:space="preserve">, and </w:t>
      </w:r>
      <w:r>
        <w:rPr>
          <w:rFonts w:ascii="Times" w:hAnsi="Times" w:hint="eastAsia"/>
          <w:color w:val="000000"/>
        </w:rPr>
        <w:t>$1.2 billion in</w:t>
      </w:r>
      <w:r w:rsidRPr="005A0019">
        <w:rPr>
          <w:rFonts w:ascii="Times" w:hAnsi="Times"/>
          <w:color w:val="000000"/>
        </w:rPr>
        <w:t xml:space="preserve"> </w:t>
      </w:r>
      <w:r>
        <w:rPr>
          <w:rFonts w:ascii="Times" w:hAnsi="Times" w:hint="eastAsia"/>
          <w:color w:val="000000"/>
        </w:rPr>
        <w:t xml:space="preserve">total energy </w:t>
      </w:r>
      <w:r w:rsidRPr="005A0019">
        <w:rPr>
          <w:rFonts w:ascii="Times" w:hAnsi="Times"/>
          <w:color w:val="000000"/>
        </w:rPr>
        <w:t>savings in 2030.</w:t>
      </w:r>
      <w:r w:rsidRPr="00C36F63">
        <w:rPr>
          <w:rFonts w:ascii="Times" w:hAnsi="Times"/>
          <w:color w:val="000000"/>
        </w:rPr>
        <w:t xml:space="preserve"> </w:t>
      </w:r>
      <w:r w:rsidRPr="00C36F63">
        <w:rPr>
          <w:rFonts w:ascii="Times" w:hAnsi="Times" w:cs="Times"/>
          <w:color w:val="000000"/>
        </w:rPr>
        <w:t>In comparison, the State spent $3.8 billion on electricity in 2007</w:t>
      </w:r>
      <w:r w:rsidR="004435F2" w:rsidRPr="00C36F63">
        <w:rPr>
          <w:rFonts w:ascii="Times" w:hAnsi="Times"/>
          <w:color w:val="000000"/>
          <w:sz w:val="24"/>
          <w:szCs w:val="24"/>
        </w:rPr>
        <w:t>.</w:t>
      </w:r>
      <w:r w:rsidR="001D371D">
        <w:rPr>
          <w:rFonts w:ascii="Times" w:hAnsi="Times"/>
          <w:color w:val="000000"/>
          <w:sz w:val="24"/>
          <w:szCs w:val="24"/>
          <w:vertAlign w:val="superscript"/>
        </w:rPr>
        <w:t>13</w:t>
      </w:r>
    </w:p>
    <w:p w:rsidR="00BE144B" w:rsidRDefault="00BE144B" w:rsidP="004435F2">
      <w:pPr>
        <w:spacing w:after="0"/>
        <w:rPr>
          <w:rFonts w:ascii="Times" w:hAnsi="Times"/>
          <w:color w:val="000000"/>
          <w:sz w:val="24"/>
          <w:szCs w:val="24"/>
        </w:rPr>
      </w:pPr>
    </w:p>
    <w:p w:rsidR="00BE144B" w:rsidRPr="00DE4452" w:rsidRDefault="00BE144B" w:rsidP="00BE144B">
      <w:pPr>
        <w:spacing w:after="0"/>
        <w:rPr>
          <w:rFonts w:ascii="Times" w:hAnsi="Times"/>
          <w:color w:val="000000"/>
          <w:sz w:val="24"/>
          <w:szCs w:val="24"/>
        </w:rPr>
      </w:pPr>
      <w:r w:rsidRPr="00DE4452">
        <w:rPr>
          <w:rFonts w:ascii="Times" w:hAnsi="Times"/>
          <w:color w:val="000000"/>
          <w:sz w:val="24"/>
          <w:szCs w:val="24"/>
        </w:rPr>
        <w:t>Using an input-output calculation method from ACEEE – with state-specific impact coefficients and accounting for declines in employment in the electricity and natural gas sectors – we e</w:t>
      </w:r>
      <w:r>
        <w:rPr>
          <w:rFonts w:ascii="Times" w:hAnsi="Times"/>
          <w:color w:val="000000"/>
          <w:sz w:val="24"/>
          <w:szCs w:val="24"/>
        </w:rPr>
        <w:t>stimated that Mississippi</w:t>
      </w:r>
      <w:r w:rsidRPr="00DE4452">
        <w:rPr>
          <w:rFonts w:ascii="Times" w:hAnsi="Times"/>
          <w:color w:val="000000"/>
          <w:sz w:val="24"/>
          <w:szCs w:val="24"/>
        </w:rPr>
        <w:t xml:space="preserve"> would experience a net gain of </w:t>
      </w:r>
      <w:r>
        <w:rPr>
          <w:rFonts w:ascii="Times" w:hAnsi="Times"/>
          <w:bCs/>
          <w:color w:val="000000"/>
          <w:sz w:val="24"/>
          <w:szCs w:val="24"/>
        </w:rPr>
        <w:t>6,</w:t>
      </w:r>
      <w:r w:rsidR="00343CBC">
        <w:rPr>
          <w:rFonts w:ascii="Times" w:hAnsi="Times"/>
          <w:bCs/>
          <w:color w:val="000000"/>
          <w:sz w:val="24"/>
          <w:szCs w:val="24"/>
        </w:rPr>
        <w:t>900</w:t>
      </w:r>
      <w:r w:rsidR="00343CBC" w:rsidRPr="00DE4452">
        <w:rPr>
          <w:rFonts w:ascii="Times" w:hAnsi="Times"/>
          <w:color w:val="000000"/>
          <w:sz w:val="24"/>
          <w:szCs w:val="24"/>
        </w:rPr>
        <w:t xml:space="preserve"> </w:t>
      </w:r>
      <w:r w:rsidRPr="00DE4452">
        <w:rPr>
          <w:rFonts w:ascii="Times" w:hAnsi="Times"/>
          <w:color w:val="000000"/>
          <w:sz w:val="24"/>
          <w:szCs w:val="24"/>
        </w:rPr>
        <w:t xml:space="preserve">jobs in 2020, growing to </w:t>
      </w:r>
      <w:r w:rsidR="00343CBC">
        <w:rPr>
          <w:rFonts w:ascii="Times" w:hAnsi="Times"/>
          <w:color w:val="000000"/>
          <w:sz w:val="24"/>
          <w:szCs w:val="24"/>
        </w:rPr>
        <w:t>9,500</w:t>
      </w:r>
      <w:r>
        <w:rPr>
          <w:rFonts w:ascii="Times" w:hAnsi="Times"/>
          <w:color w:val="000000"/>
          <w:sz w:val="24"/>
          <w:szCs w:val="24"/>
        </w:rPr>
        <w:t xml:space="preserve"> </w:t>
      </w:r>
      <w:r w:rsidRPr="00DE4452">
        <w:rPr>
          <w:rFonts w:ascii="Times" w:hAnsi="Times"/>
          <w:color w:val="000000"/>
          <w:sz w:val="24"/>
          <w:szCs w:val="24"/>
        </w:rPr>
        <w:t>in 2030</w:t>
      </w:r>
      <w:r>
        <w:rPr>
          <w:rFonts w:ascii="Times" w:hAnsi="Times"/>
          <w:color w:val="000000"/>
          <w:sz w:val="24"/>
          <w:szCs w:val="24"/>
        </w:rPr>
        <w:t>.  In comparison, there were 135,9</w:t>
      </w:r>
      <w:r w:rsidRPr="00DE4452">
        <w:rPr>
          <w:rFonts w:ascii="Times" w:hAnsi="Times"/>
          <w:color w:val="000000"/>
          <w:sz w:val="24"/>
          <w:szCs w:val="24"/>
        </w:rPr>
        <w:t xml:space="preserve">00 unemployed </w:t>
      </w:r>
      <w:r>
        <w:rPr>
          <w:rFonts w:ascii="Times" w:hAnsi="Times"/>
          <w:color w:val="000000"/>
          <w:sz w:val="24"/>
          <w:szCs w:val="24"/>
        </w:rPr>
        <w:t>Mississippians</w:t>
      </w:r>
      <w:r w:rsidRPr="00DE4452">
        <w:rPr>
          <w:rFonts w:ascii="Times" w:hAnsi="Times"/>
          <w:color w:val="000000"/>
          <w:sz w:val="24"/>
          <w:szCs w:val="24"/>
        </w:rPr>
        <w:t xml:space="preserve"> at the end of 2009.</w:t>
      </w:r>
      <w:r w:rsidR="001D371D">
        <w:rPr>
          <w:rFonts w:ascii="Times" w:hAnsi="Times"/>
          <w:color w:val="000000"/>
          <w:sz w:val="24"/>
          <w:szCs w:val="24"/>
          <w:vertAlign w:val="superscript"/>
        </w:rPr>
        <w:t>14</w:t>
      </w:r>
    </w:p>
    <w:p w:rsidR="00BE144B" w:rsidRPr="00DE4452" w:rsidRDefault="00BE144B" w:rsidP="00BE144B">
      <w:pPr>
        <w:spacing w:after="0"/>
        <w:rPr>
          <w:rFonts w:ascii="Times" w:hAnsi="Times"/>
          <w:color w:val="000000"/>
          <w:sz w:val="24"/>
          <w:szCs w:val="24"/>
        </w:rPr>
      </w:pPr>
    </w:p>
    <w:p w:rsidR="00BE144B" w:rsidRPr="009D6A23" w:rsidRDefault="00D43801" w:rsidP="00BE144B">
      <w:pPr>
        <w:spacing w:after="0"/>
        <w:rPr>
          <w:rFonts w:ascii="Times" w:hAnsi="Times"/>
          <w:color w:val="000000"/>
          <w:sz w:val="24"/>
          <w:szCs w:val="24"/>
        </w:rPr>
      </w:pPr>
      <w:r w:rsidRPr="00621914">
        <w:rPr>
          <w:rStyle w:val="apple-style-span"/>
          <w:rFonts w:ascii="Times" w:hAnsi="Times" w:cs="Times"/>
          <w:sz w:val="24"/>
        </w:rPr>
        <w:t xml:space="preserve">While the South's economy would grow </w:t>
      </w:r>
      <w:r>
        <w:rPr>
          <w:rStyle w:val="apple-style-span"/>
          <w:rFonts w:ascii="Times" w:hAnsi="Times" w:cs="Times"/>
          <w:sz w:val="24"/>
        </w:rPr>
        <w:t xml:space="preserve">more rapidly </w:t>
      </w:r>
      <w:r w:rsidRPr="00621914">
        <w:rPr>
          <w:rStyle w:val="apple-style-span"/>
          <w:rFonts w:ascii="Times" w:hAnsi="Times" w:cs="Times"/>
          <w:sz w:val="24"/>
        </w:rPr>
        <w:t xml:space="preserve">as a result of the energy-efficiency policies, </w:t>
      </w:r>
      <w:r>
        <w:rPr>
          <w:rStyle w:val="apple-style-span"/>
          <w:rFonts w:ascii="Times" w:hAnsi="Times" w:cs="Times"/>
          <w:sz w:val="24"/>
        </w:rPr>
        <w:t xml:space="preserve">Mississippi’s </w:t>
      </w:r>
      <w:r w:rsidRPr="00621914">
        <w:rPr>
          <w:rStyle w:val="apple-style-span"/>
          <w:rFonts w:ascii="Times" w:hAnsi="Times" w:cs="Times"/>
          <w:sz w:val="24"/>
        </w:rPr>
        <w:t>Gross State Product</w:t>
      </w:r>
      <w:r>
        <w:rPr>
          <w:rStyle w:val="apple-style-span"/>
          <w:rFonts w:ascii="Times" w:hAnsi="Times" w:cs="Times"/>
          <w:sz w:val="24"/>
        </w:rPr>
        <w:t xml:space="preserve"> would grow by</w:t>
      </w:r>
      <w:r w:rsidRPr="00621914">
        <w:rPr>
          <w:rStyle w:val="apple-style-span"/>
          <w:rFonts w:ascii="Times" w:hAnsi="Times" w:cs="Times"/>
          <w:sz w:val="24"/>
        </w:rPr>
        <w:t xml:space="preserve"> $</w:t>
      </w:r>
      <w:r w:rsidR="00343CBC">
        <w:rPr>
          <w:rStyle w:val="apple-style-span"/>
          <w:rFonts w:ascii="Times" w:hAnsi="Times" w:cs="Times"/>
          <w:bCs/>
          <w:sz w:val="24"/>
        </w:rPr>
        <w:t>65</w:t>
      </w:r>
      <w:r w:rsidR="00343CBC" w:rsidRPr="00621914">
        <w:rPr>
          <w:rStyle w:val="apple-style-span"/>
          <w:rFonts w:ascii="Times" w:hAnsi="Times" w:cs="Times"/>
          <w:sz w:val="24"/>
        </w:rPr>
        <w:t xml:space="preserve"> </w:t>
      </w:r>
      <w:r w:rsidRPr="00621914">
        <w:rPr>
          <w:rStyle w:val="apple-style-span"/>
          <w:rFonts w:ascii="Times" w:hAnsi="Times" w:cs="Times"/>
          <w:sz w:val="24"/>
        </w:rPr>
        <w:t xml:space="preserve">million </w:t>
      </w:r>
      <w:r>
        <w:rPr>
          <w:rStyle w:val="apple-style-span"/>
          <w:rFonts w:ascii="Times" w:hAnsi="Times" w:cs="Times"/>
          <w:sz w:val="24"/>
        </w:rPr>
        <w:t xml:space="preserve">less </w:t>
      </w:r>
      <w:r w:rsidRPr="00621914">
        <w:rPr>
          <w:rStyle w:val="apple-style-span"/>
          <w:rFonts w:ascii="Times" w:hAnsi="Times" w:cs="Times"/>
          <w:sz w:val="24"/>
        </w:rPr>
        <w:t xml:space="preserve">in 2020, and </w:t>
      </w:r>
      <w:r>
        <w:rPr>
          <w:rStyle w:val="apple-style-span"/>
          <w:rFonts w:ascii="Times" w:hAnsi="Times" w:cs="Times"/>
          <w:sz w:val="24"/>
        </w:rPr>
        <w:t xml:space="preserve">by </w:t>
      </w:r>
      <w:r w:rsidRPr="00621914">
        <w:rPr>
          <w:rStyle w:val="apple-style-span"/>
          <w:rFonts w:ascii="Times" w:hAnsi="Times" w:cs="Times"/>
          <w:sz w:val="24"/>
        </w:rPr>
        <w:t>$</w:t>
      </w:r>
      <w:r w:rsidR="00343CBC">
        <w:rPr>
          <w:rStyle w:val="apple-style-span"/>
          <w:rFonts w:ascii="Times" w:hAnsi="Times" w:cs="Times"/>
          <w:bCs/>
          <w:sz w:val="24"/>
        </w:rPr>
        <w:t>102</w:t>
      </w:r>
      <w:r w:rsidR="00343CBC" w:rsidRPr="00621914">
        <w:rPr>
          <w:rStyle w:val="apple-style-span"/>
          <w:rFonts w:ascii="Times" w:hAnsi="Times" w:cs="Times"/>
          <w:sz w:val="24"/>
        </w:rPr>
        <w:t xml:space="preserve"> </w:t>
      </w:r>
      <w:r w:rsidRPr="00621914">
        <w:rPr>
          <w:rStyle w:val="apple-style-span"/>
          <w:rFonts w:ascii="Times" w:hAnsi="Times" w:cs="Times"/>
          <w:sz w:val="24"/>
        </w:rPr>
        <w:t xml:space="preserve">million </w:t>
      </w:r>
      <w:r>
        <w:rPr>
          <w:rStyle w:val="apple-style-span"/>
          <w:rFonts w:ascii="Times" w:hAnsi="Times" w:cs="Times"/>
          <w:sz w:val="24"/>
        </w:rPr>
        <w:t xml:space="preserve">less </w:t>
      </w:r>
      <w:r w:rsidRPr="00621914">
        <w:rPr>
          <w:rStyle w:val="apple-style-span"/>
          <w:rFonts w:ascii="Times" w:hAnsi="Times" w:cs="Times"/>
          <w:sz w:val="24"/>
        </w:rPr>
        <w:t>in 2030.</w:t>
      </w:r>
      <w:r w:rsidRPr="00DE4452" w:rsidDel="00D43801">
        <w:rPr>
          <w:rStyle w:val="apple-style-span"/>
          <w:rFonts w:ascii="Times" w:hAnsi="Times" w:cs="Times"/>
        </w:rPr>
        <w:t xml:space="preserve"> </w:t>
      </w:r>
      <w:r w:rsidR="00C44DA8" w:rsidRPr="00C44DA8">
        <w:rPr>
          <w:rStyle w:val="apple-style-span"/>
          <w:rFonts w:ascii="Times" w:hAnsi="Times" w:cs="Times"/>
          <w:sz w:val="24"/>
        </w:rPr>
        <w:t>This change is a small fraction of the State’s $88 billion economy; the loss is due to the lower-than-average economic multiplier associated with energy-efficiency manufacturing and construction activities in Mississippi</w:t>
      </w:r>
      <w:r w:rsidR="00BE144B" w:rsidRPr="00D43801">
        <w:rPr>
          <w:rFonts w:ascii="Times" w:hAnsi="Times"/>
          <w:color w:val="000000"/>
          <w:sz w:val="24"/>
          <w:szCs w:val="24"/>
        </w:rPr>
        <w:t>.</w:t>
      </w:r>
      <w:r w:rsidR="001D371D">
        <w:rPr>
          <w:rFonts w:ascii="Times" w:hAnsi="Times"/>
          <w:color w:val="000000"/>
          <w:sz w:val="24"/>
          <w:szCs w:val="24"/>
          <w:vertAlign w:val="superscript"/>
        </w:rPr>
        <w:t>15</w:t>
      </w:r>
      <w:r w:rsidR="00BE144B" w:rsidRPr="009D6A23">
        <w:rPr>
          <w:rFonts w:ascii="Times" w:hAnsi="Times"/>
          <w:color w:val="000000"/>
          <w:sz w:val="24"/>
          <w:szCs w:val="24"/>
        </w:rPr>
        <w:t xml:space="preserve">          </w:t>
      </w:r>
    </w:p>
    <w:p w:rsidR="00BE144B" w:rsidRDefault="00BE144B" w:rsidP="004435F2">
      <w:pPr>
        <w:spacing w:after="0"/>
        <w:rPr>
          <w:rFonts w:ascii="Times" w:hAnsi="Times"/>
          <w:color w:val="000000"/>
          <w:sz w:val="24"/>
          <w:szCs w:val="24"/>
        </w:rPr>
      </w:pPr>
    </w:p>
    <w:p w:rsidR="00750E7E" w:rsidRDefault="00750E7E" w:rsidP="004435F2">
      <w:pPr>
        <w:spacing w:after="0"/>
        <w:rPr>
          <w:rFonts w:ascii="Times" w:hAnsi="Times"/>
          <w:color w:val="000000"/>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9"/>
        <w:gridCol w:w="1530"/>
        <w:gridCol w:w="1440"/>
        <w:gridCol w:w="9"/>
      </w:tblGrid>
      <w:tr w:rsidR="00016C51" w:rsidRPr="00215AA3">
        <w:trPr>
          <w:trHeight w:val="305"/>
          <w:jc w:val="center"/>
        </w:trPr>
        <w:tc>
          <w:tcPr>
            <w:tcW w:w="9738" w:type="dxa"/>
            <w:gridSpan w:val="4"/>
          </w:tcPr>
          <w:p w:rsidR="00F9168B" w:rsidRDefault="00016C51" w:rsidP="00682E48">
            <w:pPr>
              <w:spacing w:before="120" w:after="0" w:line="480" w:lineRule="auto"/>
              <w:jc w:val="center"/>
              <w:rPr>
                <w:rFonts w:ascii="Times" w:hAnsi="Times"/>
                <w:b/>
              </w:rPr>
            </w:pPr>
            <w:r>
              <w:rPr>
                <w:rFonts w:ascii="Times" w:hAnsi="Times"/>
                <w:b/>
              </w:rPr>
              <w:t>Table 1</w:t>
            </w:r>
            <w:r w:rsidRPr="00215AA3">
              <w:rPr>
                <w:rFonts w:ascii="Times" w:hAnsi="Times"/>
                <w:b/>
              </w:rPr>
              <w:t>:</w:t>
            </w:r>
            <w:r>
              <w:rPr>
                <w:rFonts w:ascii="Times" w:hAnsi="Times"/>
                <w:b/>
              </w:rPr>
              <w:t xml:space="preserve"> E</w:t>
            </w:r>
            <w:r w:rsidRPr="00215AA3">
              <w:rPr>
                <w:rFonts w:ascii="Times" w:hAnsi="Times"/>
                <w:b/>
              </w:rPr>
              <w:t xml:space="preserve">conomic </w:t>
            </w:r>
            <w:r>
              <w:rPr>
                <w:rFonts w:ascii="Times" w:hAnsi="Times"/>
                <w:b/>
              </w:rPr>
              <w:t xml:space="preserve">and Employment </w:t>
            </w:r>
            <w:r w:rsidRPr="00215AA3">
              <w:rPr>
                <w:rFonts w:ascii="Times" w:hAnsi="Times"/>
                <w:b/>
              </w:rPr>
              <w:t>Impact</w:t>
            </w:r>
            <w:r>
              <w:rPr>
                <w:rFonts w:ascii="Times" w:hAnsi="Times"/>
                <w:b/>
              </w:rPr>
              <w:t>s</w:t>
            </w:r>
            <w:r w:rsidRPr="00215AA3">
              <w:rPr>
                <w:rFonts w:ascii="Times" w:hAnsi="Times"/>
                <w:b/>
              </w:rPr>
              <w:t xml:space="preserve"> of </w:t>
            </w:r>
            <w:r>
              <w:rPr>
                <w:rFonts w:ascii="Times" w:hAnsi="Times"/>
                <w:b/>
              </w:rPr>
              <w:t xml:space="preserve">Energy Efficiency </w:t>
            </w:r>
          </w:p>
        </w:tc>
      </w:tr>
      <w:tr w:rsidR="00016C51" w:rsidRPr="00215AA3">
        <w:trPr>
          <w:gridAfter w:val="1"/>
          <w:wAfter w:w="9" w:type="dxa"/>
          <w:jc w:val="center"/>
        </w:trPr>
        <w:tc>
          <w:tcPr>
            <w:tcW w:w="6759" w:type="dxa"/>
            <w:shd w:val="clear" w:color="auto" w:fill="B6DDE8"/>
            <w:vAlign w:val="center"/>
          </w:tcPr>
          <w:p w:rsidR="00F9168B" w:rsidRDefault="00016C51" w:rsidP="00682E48">
            <w:pPr>
              <w:spacing w:before="120" w:after="0" w:line="480" w:lineRule="auto"/>
              <w:jc w:val="center"/>
              <w:rPr>
                <w:rFonts w:ascii="Times" w:hAnsi="Times"/>
                <w:b/>
              </w:rPr>
            </w:pPr>
            <w:r>
              <w:rPr>
                <w:rFonts w:ascii="Times" w:hAnsi="Times"/>
                <w:b/>
              </w:rPr>
              <w:t>Indicator</w:t>
            </w:r>
          </w:p>
        </w:tc>
        <w:tc>
          <w:tcPr>
            <w:tcW w:w="1530" w:type="dxa"/>
            <w:shd w:val="clear" w:color="auto" w:fill="B6DDE8"/>
            <w:vAlign w:val="center"/>
          </w:tcPr>
          <w:p w:rsidR="00F9168B" w:rsidRDefault="00016C51" w:rsidP="00682E48">
            <w:pPr>
              <w:spacing w:before="120" w:after="0" w:line="480" w:lineRule="auto"/>
              <w:jc w:val="center"/>
              <w:rPr>
                <w:rFonts w:ascii="Times" w:hAnsi="Times"/>
                <w:b/>
              </w:rPr>
            </w:pPr>
            <w:r w:rsidRPr="00215AA3">
              <w:rPr>
                <w:rFonts w:ascii="Times" w:hAnsi="Times"/>
                <w:b/>
              </w:rPr>
              <w:t>2020</w:t>
            </w:r>
          </w:p>
        </w:tc>
        <w:tc>
          <w:tcPr>
            <w:tcW w:w="1440" w:type="dxa"/>
            <w:shd w:val="clear" w:color="auto" w:fill="B6DDE8"/>
            <w:vAlign w:val="center"/>
          </w:tcPr>
          <w:p w:rsidR="00F9168B" w:rsidRDefault="00016C51" w:rsidP="00682E48">
            <w:pPr>
              <w:spacing w:before="120" w:after="0" w:line="480" w:lineRule="auto"/>
              <w:jc w:val="center"/>
              <w:rPr>
                <w:rFonts w:ascii="Times" w:hAnsi="Times"/>
                <w:b/>
              </w:rPr>
            </w:pPr>
            <w:r w:rsidRPr="00215AA3">
              <w:rPr>
                <w:rFonts w:ascii="Times" w:hAnsi="Times"/>
                <w:b/>
              </w:rPr>
              <w:t>2030</w:t>
            </w:r>
          </w:p>
        </w:tc>
      </w:tr>
      <w:tr w:rsidR="00016C51" w:rsidRPr="00215AA3">
        <w:trPr>
          <w:gridAfter w:val="1"/>
          <w:wAfter w:w="9" w:type="dxa"/>
          <w:jc w:val="center"/>
        </w:trPr>
        <w:tc>
          <w:tcPr>
            <w:tcW w:w="6759" w:type="dxa"/>
            <w:vAlign w:val="center"/>
          </w:tcPr>
          <w:p w:rsidR="00F9168B" w:rsidRDefault="00016C51" w:rsidP="00682E48">
            <w:pPr>
              <w:spacing w:before="120" w:after="0" w:line="480" w:lineRule="auto"/>
              <w:rPr>
                <w:rFonts w:ascii="Times" w:hAnsi="Times"/>
              </w:rPr>
            </w:pPr>
            <w:r w:rsidRPr="00F05F6E">
              <w:rPr>
                <w:rFonts w:ascii="Times" w:hAnsi="Times"/>
              </w:rPr>
              <w:t>Public Sector Policy Financial Incentives</w:t>
            </w:r>
            <w:r>
              <w:rPr>
                <w:rFonts w:ascii="Times" w:hAnsi="Times"/>
              </w:rPr>
              <w:t xml:space="preserve"> </w:t>
            </w:r>
            <w:r w:rsidRPr="000F786C">
              <w:rPr>
                <w:rFonts w:ascii="Times" w:hAnsi="Times"/>
              </w:rPr>
              <w:t>(in million $2007)</w:t>
            </w:r>
          </w:p>
        </w:tc>
        <w:tc>
          <w:tcPr>
            <w:tcW w:w="1530" w:type="dxa"/>
            <w:vAlign w:val="bottom"/>
          </w:tcPr>
          <w:p w:rsidR="00F9168B" w:rsidRDefault="00016C51" w:rsidP="00682E48">
            <w:pPr>
              <w:spacing w:before="120" w:after="0" w:line="480" w:lineRule="auto"/>
              <w:jc w:val="center"/>
              <w:rPr>
                <w:rFonts w:ascii="Times" w:hAnsi="Times"/>
              </w:rPr>
            </w:pPr>
            <w:r w:rsidRPr="00057151">
              <w:rPr>
                <w:rFonts w:ascii="Times" w:hAnsi="Times"/>
              </w:rPr>
              <w:t>214</w:t>
            </w:r>
          </w:p>
        </w:tc>
        <w:tc>
          <w:tcPr>
            <w:tcW w:w="1440" w:type="dxa"/>
            <w:vAlign w:val="bottom"/>
          </w:tcPr>
          <w:p w:rsidR="00F9168B" w:rsidRDefault="00016C51" w:rsidP="00682E48">
            <w:pPr>
              <w:spacing w:before="120" w:after="0" w:line="480" w:lineRule="auto"/>
              <w:jc w:val="center"/>
              <w:rPr>
                <w:rFonts w:ascii="Times" w:hAnsi="Times"/>
              </w:rPr>
            </w:pPr>
            <w:r w:rsidRPr="00057151">
              <w:rPr>
                <w:rFonts w:ascii="Times" w:hAnsi="Times"/>
              </w:rPr>
              <w:t>324</w:t>
            </w:r>
          </w:p>
        </w:tc>
      </w:tr>
      <w:tr w:rsidR="00016C51" w:rsidRPr="00215AA3">
        <w:trPr>
          <w:gridAfter w:val="1"/>
          <w:wAfter w:w="9" w:type="dxa"/>
          <w:jc w:val="center"/>
        </w:trPr>
        <w:tc>
          <w:tcPr>
            <w:tcW w:w="6759" w:type="dxa"/>
            <w:vAlign w:val="center"/>
          </w:tcPr>
          <w:p w:rsidR="00F9168B" w:rsidRDefault="00016C51" w:rsidP="00682E48">
            <w:pPr>
              <w:spacing w:before="120" w:after="0" w:line="480" w:lineRule="auto"/>
              <w:rPr>
                <w:rFonts w:ascii="Times" w:hAnsi="Times"/>
              </w:rPr>
            </w:pPr>
            <w:r w:rsidRPr="00F05F6E">
              <w:rPr>
                <w:rFonts w:ascii="Times" w:hAnsi="Times"/>
              </w:rPr>
              <w:t>Private Sector/Household Productive Investment</w:t>
            </w:r>
            <w:r>
              <w:rPr>
                <w:rFonts w:ascii="Times" w:hAnsi="Times"/>
              </w:rPr>
              <w:t xml:space="preserve"> </w:t>
            </w:r>
            <w:r w:rsidRPr="000F786C">
              <w:rPr>
                <w:rFonts w:ascii="Times" w:hAnsi="Times"/>
              </w:rPr>
              <w:t>(in million $2007)</w:t>
            </w:r>
          </w:p>
        </w:tc>
        <w:tc>
          <w:tcPr>
            <w:tcW w:w="1530" w:type="dxa"/>
            <w:vAlign w:val="bottom"/>
          </w:tcPr>
          <w:p w:rsidR="00F9168B" w:rsidRDefault="00016C51" w:rsidP="00682E48">
            <w:pPr>
              <w:spacing w:before="120" w:after="0" w:line="480" w:lineRule="auto"/>
              <w:jc w:val="center"/>
              <w:rPr>
                <w:rFonts w:ascii="Times" w:hAnsi="Times"/>
              </w:rPr>
            </w:pPr>
            <w:r w:rsidRPr="00057151">
              <w:rPr>
                <w:rFonts w:ascii="Times" w:hAnsi="Times"/>
              </w:rPr>
              <w:t>191</w:t>
            </w:r>
          </w:p>
        </w:tc>
        <w:tc>
          <w:tcPr>
            <w:tcW w:w="1440" w:type="dxa"/>
            <w:vAlign w:val="bottom"/>
          </w:tcPr>
          <w:p w:rsidR="00F9168B" w:rsidRDefault="00016C51" w:rsidP="00682E48">
            <w:pPr>
              <w:spacing w:before="120" w:after="0" w:line="480" w:lineRule="auto"/>
              <w:jc w:val="center"/>
              <w:rPr>
                <w:rFonts w:ascii="Times" w:hAnsi="Times"/>
              </w:rPr>
            </w:pPr>
            <w:r w:rsidRPr="00057151">
              <w:rPr>
                <w:rFonts w:ascii="Times" w:hAnsi="Times"/>
              </w:rPr>
              <w:t>197</w:t>
            </w:r>
          </w:p>
        </w:tc>
      </w:tr>
      <w:tr w:rsidR="00016C51" w:rsidRPr="00215AA3">
        <w:trPr>
          <w:gridAfter w:val="1"/>
          <w:wAfter w:w="9" w:type="dxa"/>
          <w:jc w:val="center"/>
        </w:trPr>
        <w:tc>
          <w:tcPr>
            <w:tcW w:w="6759" w:type="dxa"/>
            <w:vAlign w:val="center"/>
          </w:tcPr>
          <w:p w:rsidR="00F9168B" w:rsidRDefault="00016C51" w:rsidP="00682E48">
            <w:pPr>
              <w:spacing w:before="120" w:after="0" w:line="480" w:lineRule="auto"/>
              <w:rPr>
                <w:rFonts w:ascii="Times" w:hAnsi="Times"/>
              </w:rPr>
            </w:pPr>
            <w:r w:rsidRPr="00F05F6E">
              <w:rPr>
                <w:rFonts w:ascii="Times" w:hAnsi="Times"/>
              </w:rPr>
              <w:t xml:space="preserve">Change in Electricity </w:t>
            </w:r>
            <w:r>
              <w:rPr>
                <w:rFonts w:ascii="Times" w:hAnsi="Times"/>
              </w:rPr>
              <w:t xml:space="preserve">Costs </w:t>
            </w:r>
            <w:r w:rsidRPr="000F786C">
              <w:rPr>
                <w:rFonts w:ascii="Times" w:hAnsi="Times"/>
              </w:rPr>
              <w:t>(in million $2007)</w:t>
            </w:r>
          </w:p>
        </w:tc>
        <w:tc>
          <w:tcPr>
            <w:tcW w:w="1530" w:type="dxa"/>
            <w:vAlign w:val="bottom"/>
          </w:tcPr>
          <w:p w:rsidR="00F9168B" w:rsidRDefault="00016C51" w:rsidP="00682E48">
            <w:pPr>
              <w:spacing w:before="120" w:after="0" w:line="480" w:lineRule="auto"/>
              <w:jc w:val="center"/>
              <w:rPr>
                <w:rFonts w:ascii="Times" w:hAnsi="Times"/>
              </w:rPr>
            </w:pPr>
            <w:r w:rsidRPr="0077054F">
              <w:rPr>
                <w:rFonts w:ascii="Times" w:hAnsi="Times"/>
              </w:rPr>
              <w:t>-485</w:t>
            </w:r>
          </w:p>
        </w:tc>
        <w:tc>
          <w:tcPr>
            <w:tcW w:w="1440" w:type="dxa"/>
            <w:vAlign w:val="bottom"/>
          </w:tcPr>
          <w:p w:rsidR="00F9168B" w:rsidRDefault="00016C51" w:rsidP="00682E48">
            <w:pPr>
              <w:spacing w:before="120" w:after="0" w:line="480" w:lineRule="auto"/>
              <w:jc w:val="center"/>
              <w:rPr>
                <w:rFonts w:ascii="Times" w:hAnsi="Times"/>
              </w:rPr>
            </w:pPr>
            <w:r w:rsidRPr="0077054F">
              <w:rPr>
                <w:rFonts w:ascii="Times" w:hAnsi="Times"/>
              </w:rPr>
              <w:t>-880</w:t>
            </w:r>
          </w:p>
        </w:tc>
      </w:tr>
      <w:tr w:rsidR="00016C51" w:rsidRPr="00215AA3">
        <w:trPr>
          <w:gridAfter w:val="1"/>
          <w:wAfter w:w="9" w:type="dxa"/>
          <w:jc w:val="center"/>
        </w:trPr>
        <w:tc>
          <w:tcPr>
            <w:tcW w:w="6759" w:type="dxa"/>
            <w:vAlign w:val="center"/>
          </w:tcPr>
          <w:p w:rsidR="00F9168B" w:rsidRDefault="00016C51" w:rsidP="00682E48">
            <w:pPr>
              <w:spacing w:before="120" w:after="0" w:line="480" w:lineRule="auto"/>
              <w:rPr>
                <w:rFonts w:ascii="Times" w:hAnsi="Times"/>
                <w:b/>
              </w:rPr>
            </w:pPr>
            <w:r>
              <w:rPr>
                <w:rFonts w:ascii="Times" w:hAnsi="Times"/>
              </w:rPr>
              <w:t xml:space="preserve">Change in Natural Gas Costs </w:t>
            </w:r>
            <w:r w:rsidRPr="000F786C">
              <w:rPr>
                <w:rFonts w:ascii="Times" w:hAnsi="Times"/>
              </w:rPr>
              <w:t>(in million $2007)</w:t>
            </w:r>
          </w:p>
        </w:tc>
        <w:tc>
          <w:tcPr>
            <w:tcW w:w="1530" w:type="dxa"/>
            <w:vAlign w:val="bottom"/>
          </w:tcPr>
          <w:p w:rsidR="00F9168B" w:rsidRDefault="00016C51" w:rsidP="00682E48">
            <w:pPr>
              <w:spacing w:before="120" w:after="0" w:line="480" w:lineRule="auto"/>
              <w:jc w:val="center"/>
              <w:rPr>
                <w:rFonts w:ascii="Times" w:hAnsi="Times"/>
              </w:rPr>
            </w:pPr>
            <w:r w:rsidRPr="0077054F">
              <w:rPr>
                <w:rFonts w:ascii="Times" w:hAnsi="Times"/>
              </w:rPr>
              <w:t>-190</w:t>
            </w:r>
          </w:p>
        </w:tc>
        <w:tc>
          <w:tcPr>
            <w:tcW w:w="1440" w:type="dxa"/>
            <w:vAlign w:val="bottom"/>
          </w:tcPr>
          <w:p w:rsidR="00F9168B" w:rsidRDefault="00016C51" w:rsidP="00682E48">
            <w:pPr>
              <w:spacing w:before="120" w:after="0" w:line="480" w:lineRule="auto"/>
              <w:jc w:val="center"/>
              <w:rPr>
                <w:rFonts w:ascii="Times" w:hAnsi="Times"/>
              </w:rPr>
            </w:pPr>
            <w:r w:rsidRPr="0077054F">
              <w:rPr>
                <w:rFonts w:ascii="Times" w:hAnsi="Times"/>
              </w:rPr>
              <w:t>-330</w:t>
            </w:r>
          </w:p>
        </w:tc>
      </w:tr>
      <w:tr w:rsidR="00016C51" w:rsidRPr="00215AA3">
        <w:trPr>
          <w:gridAfter w:val="1"/>
          <w:wAfter w:w="9" w:type="dxa"/>
          <w:jc w:val="center"/>
        </w:trPr>
        <w:tc>
          <w:tcPr>
            <w:tcW w:w="6759" w:type="dxa"/>
            <w:vAlign w:val="center"/>
          </w:tcPr>
          <w:p w:rsidR="00F9168B" w:rsidRDefault="00016C51" w:rsidP="00682E48">
            <w:pPr>
              <w:spacing w:before="120" w:after="0" w:line="480" w:lineRule="auto"/>
              <w:rPr>
                <w:rFonts w:ascii="Times" w:hAnsi="Times"/>
              </w:rPr>
            </w:pPr>
            <w:r>
              <w:rPr>
                <w:rFonts w:ascii="Times" w:hAnsi="Times"/>
              </w:rPr>
              <w:t>Annual Increased Employment (ACEEE Calculator)</w:t>
            </w:r>
          </w:p>
        </w:tc>
        <w:tc>
          <w:tcPr>
            <w:tcW w:w="1530" w:type="dxa"/>
            <w:vAlign w:val="bottom"/>
          </w:tcPr>
          <w:p w:rsidR="00F9168B" w:rsidRDefault="00016C51" w:rsidP="00682E48">
            <w:pPr>
              <w:spacing w:before="120" w:after="0" w:line="480" w:lineRule="auto"/>
              <w:jc w:val="center"/>
              <w:rPr>
                <w:rFonts w:ascii="Times" w:hAnsi="Times"/>
              </w:rPr>
            </w:pPr>
            <w:r w:rsidRPr="0077054F">
              <w:rPr>
                <w:rFonts w:ascii="Times" w:hAnsi="Times"/>
              </w:rPr>
              <w:t>6,900</w:t>
            </w:r>
          </w:p>
        </w:tc>
        <w:tc>
          <w:tcPr>
            <w:tcW w:w="1440" w:type="dxa"/>
            <w:vAlign w:val="bottom"/>
          </w:tcPr>
          <w:p w:rsidR="00F9168B" w:rsidRDefault="00016C51" w:rsidP="00682E48">
            <w:pPr>
              <w:spacing w:before="120" w:after="0" w:line="480" w:lineRule="auto"/>
              <w:jc w:val="center"/>
              <w:rPr>
                <w:rFonts w:ascii="Times" w:hAnsi="Times"/>
              </w:rPr>
            </w:pPr>
            <w:r w:rsidRPr="0077054F">
              <w:rPr>
                <w:rFonts w:ascii="Times" w:hAnsi="Times"/>
              </w:rPr>
              <w:t>9,500</w:t>
            </w:r>
          </w:p>
        </w:tc>
      </w:tr>
      <w:tr w:rsidR="00016C51" w:rsidRPr="00215AA3">
        <w:trPr>
          <w:gridAfter w:val="1"/>
          <w:wAfter w:w="9" w:type="dxa"/>
          <w:jc w:val="center"/>
        </w:trPr>
        <w:tc>
          <w:tcPr>
            <w:tcW w:w="6759" w:type="dxa"/>
            <w:vAlign w:val="center"/>
          </w:tcPr>
          <w:p w:rsidR="00F9168B" w:rsidRDefault="00016C51" w:rsidP="00682E48">
            <w:pPr>
              <w:spacing w:before="120" w:after="0" w:line="480" w:lineRule="auto"/>
              <w:rPr>
                <w:rFonts w:ascii="Times" w:hAnsi="Times"/>
              </w:rPr>
            </w:pPr>
            <w:r>
              <w:rPr>
                <w:rFonts w:ascii="Times" w:hAnsi="Times"/>
              </w:rPr>
              <w:t xml:space="preserve">Change in Gross State Product </w:t>
            </w:r>
          </w:p>
        </w:tc>
        <w:tc>
          <w:tcPr>
            <w:tcW w:w="1530" w:type="dxa"/>
            <w:vAlign w:val="bottom"/>
          </w:tcPr>
          <w:p w:rsidR="00F9168B" w:rsidRDefault="00016C51" w:rsidP="00682E48">
            <w:pPr>
              <w:spacing w:before="120" w:after="0" w:line="480" w:lineRule="auto"/>
              <w:jc w:val="center"/>
              <w:rPr>
                <w:rFonts w:ascii="Times" w:hAnsi="Times"/>
              </w:rPr>
            </w:pPr>
            <w:r w:rsidRPr="0077054F">
              <w:rPr>
                <w:rFonts w:ascii="Times" w:hAnsi="Times"/>
              </w:rPr>
              <w:t>-65</w:t>
            </w:r>
          </w:p>
        </w:tc>
        <w:tc>
          <w:tcPr>
            <w:tcW w:w="1440" w:type="dxa"/>
            <w:vAlign w:val="bottom"/>
          </w:tcPr>
          <w:p w:rsidR="00F9168B" w:rsidRDefault="00016C51" w:rsidP="00682E48">
            <w:pPr>
              <w:spacing w:before="120" w:after="0" w:line="480" w:lineRule="auto"/>
              <w:jc w:val="center"/>
              <w:rPr>
                <w:rFonts w:ascii="Times" w:hAnsi="Times"/>
              </w:rPr>
            </w:pPr>
            <w:r w:rsidRPr="0077054F">
              <w:rPr>
                <w:rFonts w:ascii="Times" w:hAnsi="Times"/>
              </w:rPr>
              <w:t>-102</w:t>
            </w:r>
          </w:p>
        </w:tc>
      </w:tr>
    </w:tbl>
    <w:p w:rsidR="00016C51" w:rsidRPr="00C36F63" w:rsidRDefault="00016C51" w:rsidP="00016C51">
      <w:pPr>
        <w:spacing w:after="0"/>
        <w:rPr>
          <w:rFonts w:ascii="Times" w:hAnsi="Times"/>
          <w:color w:val="000000"/>
          <w:sz w:val="24"/>
          <w:szCs w:val="24"/>
        </w:rPr>
      </w:pPr>
    </w:p>
    <w:p w:rsidR="00FC2EE0" w:rsidRPr="00FC2EE0" w:rsidRDefault="00FC2EE0" w:rsidP="00FC2EE0">
      <w:pPr>
        <w:spacing w:after="0"/>
        <w:rPr>
          <w:rFonts w:ascii="Times" w:hAnsi="Times"/>
          <w:b/>
          <w:color w:val="000000" w:themeColor="text1"/>
          <w:sz w:val="24"/>
          <w:szCs w:val="24"/>
        </w:rPr>
      </w:pPr>
      <w:r w:rsidRPr="00FC2EE0">
        <w:rPr>
          <w:rFonts w:ascii="Times" w:hAnsi="Times"/>
          <w:b/>
          <w:color w:val="000000" w:themeColor="text1"/>
          <w:sz w:val="24"/>
          <w:szCs w:val="24"/>
        </w:rPr>
        <w:t>Conclusions</w:t>
      </w:r>
    </w:p>
    <w:p w:rsidR="00BE144B" w:rsidRPr="00CA390D" w:rsidRDefault="00BE144B" w:rsidP="00BE144B">
      <w:pPr>
        <w:autoSpaceDE w:val="0"/>
        <w:autoSpaceDN w:val="0"/>
        <w:adjustRightInd w:val="0"/>
        <w:spacing w:after="0"/>
        <w:rPr>
          <w:rFonts w:ascii="Times New Roman" w:hAnsi="Times New Roman"/>
          <w:color w:val="000000"/>
          <w:sz w:val="24"/>
          <w:szCs w:val="24"/>
        </w:rPr>
      </w:pPr>
      <w:r w:rsidRPr="00CA390D">
        <w:rPr>
          <w:rFonts w:ascii="Times New Roman" w:hAnsi="Times New Roman"/>
          <w:color w:val="000000"/>
          <w:sz w:val="24"/>
          <w:szCs w:val="24"/>
        </w:rPr>
        <w:t xml:space="preserve">The energy efficiency policies described in this profile could set </w:t>
      </w:r>
      <w:r>
        <w:rPr>
          <w:rFonts w:ascii="Times New Roman" w:hAnsi="Times New Roman"/>
          <w:color w:val="000000"/>
          <w:sz w:val="24"/>
          <w:szCs w:val="24"/>
        </w:rPr>
        <w:t xml:space="preserve">Mississippi </w:t>
      </w:r>
      <w:r w:rsidRPr="00CA390D">
        <w:rPr>
          <w:rFonts w:ascii="Times New Roman" w:hAnsi="Times New Roman"/>
          <w:color w:val="000000"/>
          <w:sz w:val="24"/>
          <w:szCs w:val="24"/>
        </w:rPr>
        <w:t xml:space="preserve">on a course toward a </w:t>
      </w:r>
      <w:r>
        <w:rPr>
          <w:rFonts w:ascii="Times New Roman" w:hAnsi="Times New Roman"/>
          <w:color w:val="000000"/>
          <w:sz w:val="24"/>
          <w:szCs w:val="24"/>
        </w:rPr>
        <w:t xml:space="preserve">more </w:t>
      </w:r>
      <w:r w:rsidRPr="00CA390D">
        <w:rPr>
          <w:rFonts w:ascii="Times New Roman" w:hAnsi="Times New Roman"/>
          <w:color w:val="000000"/>
          <w:sz w:val="24"/>
          <w:szCs w:val="24"/>
        </w:rPr>
        <w:t xml:space="preserve">sustainable and prosperous energy future.  If utilized effectively, the State’s substantial energy-efficiency resources could reverse the long-term trend of ever-expanding energy consumption. With a </w:t>
      </w:r>
      <w:r>
        <w:rPr>
          <w:rFonts w:ascii="Times New Roman" w:hAnsi="Times New Roman"/>
          <w:color w:val="000000"/>
          <w:sz w:val="24"/>
          <w:szCs w:val="24"/>
        </w:rPr>
        <w:t>sustained and concerted</w:t>
      </w:r>
      <w:r w:rsidRPr="00CA390D">
        <w:rPr>
          <w:rFonts w:ascii="Times New Roman" w:hAnsi="Times New Roman"/>
          <w:color w:val="000000"/>
          <w:sz w:val="24"/>
          <w:szCs w:val="24"/>
        </w:rPr>
        <w:t xml:space="preserve"> effort to use energy more wisely, </w:t>
      </w:r>
      <w:r>
        <w:rPr>
          <w:rFonts w:ascii="Times New Roman" w:hAnsi="Times New Roman"/>
          <w:color w:val="000000"/>
          <w:sz w:val="24"/>
          <w:szCs w:val="24"/>
        </w:rPr>
        <w:t>Mississippi</w:t>
      </w:r>
      <w:r w:rsidRPr="00CA390D">
        <w:rPr>
          <w:rFonts w:ascii="Times New Roman" w:hAnsi="Times New Roman"/>
          <w:color w:val="000000"/>
          <w:sz w:val="24"/>
          <w:szCs w:val="24"/>
        </w:rPr>
        <w:t xml:space="preserve"> could grow its economy, </w:t>
      </w:r>
      <w:r>
        <w:rPr>
          <w:rFonts w:ascii="Times New Roman" w:hAnsi="Times New Roman"/>
          <w:color w:val="000000"/>
          <w:sz w:val="24"/>
          <w:szCs w:val="24"/>
        </w:rPr>
        <w:t xml:space="preserve">created new </w:t>
      </w:r>
      <w:r w:rsidRPr="00CA390D">
        <w:rPr>
          <w:rFonts w:ascii="Times New Roman" w:hAnsi="Times New Roman"/>
          <w:color w:val="000000"/>
          <w:sz w:val="24"/>
          <w:szCs w:val="24"/>
        </w:rPr>
        <w:t>job</w:t>
      </w:r>
      <w:r>
        <w:rPr>
          <w:rFonts w:ascii="Times New Roman" w:hAnsi="Times New Roman"/>
          <w:color w:val="000000"/>
          <w:sz w:val="24"/>
          <w:szCs w:val="24"/>
        </w:rPr>
        <w:t xml:space="preserve"> opportunities, and reduce its environmental footprints</w:t>
      </w:r>
      <w:r w:rsidRPr="00CA390D">
        <w:rPr>
          <w:rFonts w:ascii="Times New Roman" w:hAnsi="Times New Roman"/>
          <w:color w:val="000000"/>
          <w:sz w:val="24"/>
          <w:szCs w:val="24"/>
        </w:rPr>
        <w:t>.</w:t>
      </w:r>
    </w:p>
    <w:p w:rsidR="00BE144B" w:rsidRPr="00CA390D" w:rsidRDefault="00BE144B" w:rsidP="00BE144B">
      <w:pPr>
        <w:spacing w:after="0"/>
        <w:rPr>
          <w:rFonts w:ascii="Times" w:hAnsi="Times"/>
          <w:color w:val="000000"/>
          <w:sz w:val="24"/>
          <w:szCs w:val="24"/>
        </w:rPr>
      </w:pPr>
    </w:p>
    <w:p w:rsidR="00FC2EE0" w:rsidRPr="00FC2EE0" w:rsidRDefault="00BE144B" w:rsidP="00BE144B">
      <w:pPr>
        <w:rPr>
          <w:rFonts w:ascii="Times" w:hAnsi="Times"/>
          <w:color w:val="000000" w:themeColor="text1"/>
          <w:sz w:val="24"/>
          <w:szCs w:val="24"/>
        </w:rPr>
      </w:pPr>
      <w:r w:rsidRPr="00CA390D">
        <w:rPr>
          <w:rFonts w:ascii="Times" w:hAnsi="Times"/>
          <w:color w:val="000000"/>
          <w:sz w:val="24"/>
          <w:szCs w:val="24"/>
        </w:rPr>
        <w:t xml:space="preserve">For more information on the methodology used to derive this state profile, please see </w:t>
      </w:r>
      <w:r w:rsidRPr="00CA390D">
        <w:rPr>
          <w:rFonts w:ascii="Times" w:hAnsi="Times"/>
          <w:i/>
          <w:color w:val="000000"/>
          <w:sz w:val="24"/>
          <w:szCs w:val="24"/>
        </w:rPr>
        <w:t>Energy Efficiency in the South</w:t>
      </w:r>
      <w:r w:rsidRPr="00CA390D">
        <w:rPr>
          <w:rFonts w:ascii="Times" w:hAnsi="Times"/>
          <w:color w:val="000000"/>
          <w:sz w:val="24"/>
          <w:szCs w:val="24"/>
        </w:rPr>
        <w:t>.</w:t>
      </w:r>
      <w:r w:rsidR="00FC2EE0" w:rsidRPr="00FC2EE0">
        <w:rPr>
          <w:rFonts w:ascii="Times New Roman" w:hAnsi="Times New Roman"/>
          <w:color w:val="000000" w:themeColor="text1"/>
          <w:sz w:val="24"/>
          <w:szCs w:val="23"/>
          <w:vertAlign w:val="superscript"/>
        </w:rPr>
        <w:t xml:space="preserve"> 1</w:t>
      </w:r>
    </w:p>
    <w:p w:rsidR="00FC2EE0" w:rsidRPr="00FC2EE0" w:rsidRDefault="00FC2EE0" w:rsidP="00FC2EE0">
      <w:pPr>
        <w:spacing w:after="0" w:line="240" w:lineRule="auto"/>
        <w:rPr>
          <w:rFonts w:ascii="Times New Roman" w:hAnsi="Times New Roman"/>
          <w:b/>
          <w:color w:val="000000" w:themeColor="text1"/>
          <w:sz w:val="24"/>
          <w:szCs w:val="24"/>
        </w:rPr>
      </w:pPr>
      <w:r w:rsidRPr="00FC2EE0">
        <w:rPr>
          <w:rFonts w:ascii="Times New Roman" w:hAnsi="Times New Roman"/>
          <w:b/>
          <w:color w:val="000000" w:themeColor="text1"/>
          <w:sz w:val="24"/>
          <w:szCs w:val="24"/>
        </w:rPr>
        <w:t>Acknowledgements</w:t>
      </w:r>
    </w:p>
    <w:p w:rsidR="00FC2EE0" w:rsidRPr="00C36F63" w:rsidRDefault="00FC2EE0" w:rsidP="00C36F63">
      <w:pPr>
        <w:rPr>
          <w:rFonts w:ascii="Times New Roman" w:hAnsi="Times New Roman" w:cs="Arial"/>
          <w:color w:val="000000" w:themeColor="text1"/>
          <w:sz w:val="24"/>
        </w:rPr>
      </w:pPr>
      <w:r w:rsidRPr="00FC2EE0">
        <w:rPr>
          <w:rFonts w:ascii="Times New Roman" w:hAnsi="Times New Roman" w:cs="Arial"/>
          <w:color w:val="000000" w:themeColor="text1"/>
          <w:sz w:val="24"/>
        </w:rPr>
        <w:t>This study project is funded with support from the Energy Foundation (</w:t>
      </w:r>
      <w:hyperlink r:id="rId21" w:history="1">
        <w:r w:rsidRPr="00FC2EE0">
          <w:rPr>
            <w:rStyle w:val="Hyperlink"/>
            <w:rFonts w:ascii="Times New Roman" w:hAnsi="Times New Roman" w:cs="Arial"/>
            <w:color w:val="000000" w:themeColor="text1"/>
            <w:sz w:val="24"/>
          </w:rPr>
          <w:t>www.ef.org</w:t>
        </w:r>
      </w:hyperlink>
      <w:r w:rsidRPr="00FC2EE0">
        <w:rPr>
          <w:rFonts w:ascii="Times New Roman" w:hAnsi="Times New Roman" w:cs="Arial"/>
          <w:color w:val="000000" w:themeColor="text1"/>
          <w:sz w:val="24"/>
        </w:rPr>
        <w:t>), the Kresge Foundation (</w:t>
      </w:r>
      <w:hyperlink r:id="rId22" w:history="1">
        <w:r w:rsidRPr="00FC2EE0">
          <w:rPr>
            <w:rStyle w:val="Hyperlink"/>
            <w:rFonts w:ascii="Times New Roman" w:hAnsi="Times New Roman" w:cs="Arial"/>
            <w:color w:val="000000" w:themeColor="text1"/>
            <w:sz w:val="24"/>
          </w:rPr>
          <w:t>www.kresge.org</w:t>
        </w:r>
      </w:hyperlink>
      <w:r w:rsidRPr="00FC2EE0">
        <w:rPr>
          <w:rFonts w:ascii="Times New Roman" w:hAnsi="Times New Roman" w:cs="Arial"/>
          <w:color w:val="000000" w:themeColor="text1"/>
          <w:sz w:val="24"/>
        </w:rPr>
        <w:t>) and the Turner Foundation (</w:t>
      </w:r>
      <w:hyperlink r:id="rId23" w:history="1">
        <w:r w:rsidRPr="00FC2EE0">
          <w:rPr>
            <w:rStyle w:val="Hyperlink"/>
            <w:rFonts w:ascii="Times New Roman" w:hAnsi="Times New Roman" w:cs="Arial"/>
            <w:color w:val="000000" w:themeColor="text1"/>
            <w:sz w:val="24"/>
          </w:rPr>
          <w:t>www.turnerfoundation.org</w:t>
        </w:r>
      </w:hyperlink>
      <w:r w:rsidRPr="00FC2EE0">
        <w:rPr>
          <w:rFonts w:ascii="Times New Roman" w:hAnsi="Times New Roman" w:cs="Arial"/>
          <w:color w:val="000000" w:themeColor="text1"/>
          <w:sz w:val="24"/>
        </w:rPr>
        <w:t>). The support of these three foundations is greatly appreciated.</w:t>
      </w:r>
    </w:p>
    <w:p w:rsidR="00FC2EE0" w:rsidRPr="00FC2EE0" w:rsidRDefault="00FC2EE0" w:rsidP="00FC2EE0">
      <w:pPr>
        <w:spacing w:after="0" w:line="240" w:lineRule="auto"/>
        <w:rPr>
          <w:rFonts w:ascii="Times New Roman" w:hAnsi="Times New Roman"/>
          <w:b/>
          <w:color w:val="000000" w:themeColor="text1"/>
          <w:sz w:val="24"/>
          <w:szCs w:val="24"/>
        </w:rPr>
      </w:pPr>
      <w:r w:rsidRPr="00FC2EE0">
        <w:rPr>
          <w:rFonts w:ascii="Times New Roman" w:hAnsi="Times New Roman"/>
          <w:b/>
          <w:color w:val="000000" w:themeColor="text1"/>
          <w:sz w:val="24"/>
          <w:szCs w:val="24"/>
        </w:rPr>
        <w:t>Footnotes and References</w:t>
      </w:r>
    </w:p>
    <w:p w:rsidR="00FC2EE0" w:rsidRPr="00FC2EE0" w:rsidRDefault="00FC2EE0" w:rsidP="00FC2EE0">
      <w:pPr>
        <w:pStyle w:val="ListParagraph"/>
        <w:numPr>
          <w:ilvl w:val="0"/>
          <w:numId w:val="1"/>
        </w:numPr>
        <w:spacing w:line="240" w:lineRule="auto"/>
        <w:rPr>
          <w:rFonts w:ascii="Times" w:hAnsi="Times"/>
          <w:color w:val="000000" w:themeColor="text1"/>
        </w:rPr>
      </w:pPr>
      <w:r w:rsidRPr="00FC2EE0">
        <w:rPr>
          <w:rFonts w:ascii="Times" w:hAnsi="Times"/>
          <w:color w:val="000000" w:themeColor="text1"/>
        </w:rPr>
        <w:t>Marilyn A. Brown, Etan Gumerman, Xiaojing Sun, Youngsun Baek, Joy Wang, Rodrigo Cortes, and Diran Soumonni. (2010). Energy Efficiency in the South</w:t>
      </w:r>
      <w:r w:rsidR="00682E48">
        <w:rPr>
          <w:rFonts w:ascii="Times" w:hAnsi="Times"/>
          <w:color w:val="000000" w:themeColor="text1"/>
        </w:rPr>
        <w:t xml:space="preserve">, </w:t>
      </w:r>
      <w:r w:rsidR="00682E48">
        <w:rPr>
          <w:rFonts w:ascii="Times" w:hAnsi="Times"/>
          <w:color w:val="000000"/>
        </w:rPr>
        <w:t xml:space="preserve">Retrieved from </w:t>
      </w:r>
      <w:r w:rsidR="00682E48" w:rsidRPr="00AB436F">
        <w:rPr>
          <w:rFonts w:ascii="Times" w:hAnsi="Times"/>
          <w:color w:val="000000"/>
        </w:rPr>
        <w:t>http://www.seealliance.org/</w:t>
      </w:r>
      <w:r w:rsidR="00682E48">
        <w:rPr>
          <w:rFonts w:ascii="Times" w:hAnsi="Times"/>
          <w:color w:val="000000"/>
        </w:rPr>
        <w:t>.</w:t>
      </w:r>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 xml:space="preserve">Census Bureau (2009). Retrieved from:  </w:t>
      </w:r>
      <w:hyperlink r:id="rId24" w:history="1">
        <w:r w:rsidRPr="00FC2EE0">
          <w:rPr>
            <w:rStyle w:val="Hyperlink"/>
            <w:rFonts w:ascii="Times" w:hAnsi="Times"/>
            <w:color w:val="000000" w:themeColor="text1"/>
          </w:rPr>
          <w:t>http://www.census.gov</w:t>
        </w:r>
      </w:hyperlink>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 xml:space="preserve">Energy Information Administration. (2009). State Energy Data System. Retrieved from: </w:t>
      </w:r>
      <w:hyperlink r:id="rId25" w:history="1">
        <w:r w:rsidRPr="00FC2EE0">
          <w:rPr>
            <w:rStyle w:val="Hyperlink"/>
            <w:rFonts w:ascii="Times" w:hAnsi="Times"/>
            <w:color w:val="000000" w:themeColor="text1"/>
          </w:rPr>
          <w:t>http://www.eia.doe.gov/emeu/states/_seds.html</w:t>
        </w:r>
      </w:hyperlink>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Southern States Energy Board. (2009). Digest of Climate Change and Energy Initiatives in the South</w:t>
      </w:r>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National Association of State Energy Officials (2009). State Energy Program and Activity Update</w:t>
      </w:r>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 xml:space="preserve">American Council for an Energy-Efficiency Economy. (2009). The 2009 State Energy Efficiency Scorecard. Retrieved from </w:t>
      </w:r>
      <w:hyperlink r:id="rId26" w:history="1">
        <w:r w:rsidRPr="00FC2EE0">
          <w:rPr>
            <w:rStyle w:val="Hyperlink"/>
            <w:rFonts w:ascii="Times" w:hAnsi="Times"/>
            <w:color w:val="000000" w:themeColor="text1"/>
          </w:rPr>
          <w:t>http://aceee.org</w:t>
        </w:r>
      </w:hyperlink>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 xml:space="preserve">Chandler, J. and M.A. Brown. (2009). Meta-Review of Efficiency Potential Studies and Their Implications for the South. Retrieved from the Georgia Institute of Technology School of Public Policy website at: </w:t>
      </w:r>
      <w:hyperlink r:id="rId27" w:history="1">
        <w:r w:rsidRPr="00FC2EE0">
          <w:rPr>
            <w:rStyle w:val="Hyperlink"/>
            <w:rFonts w:ascii="Times" w:hAnsi="Times"/>
            <w:color w:val="000000" w:themeColor="text1"/>
          </w:rPr>
          <w:t>www.spp.gatech.edu/faculty/workingpapers/wp51.pdf</w:t>
        </w:r>
      </w:hyperlink>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A power plant is approximated as a 500 MW power plant as defined by Koomey, J. et al. (2009). Defining a standard metric for electricity savings. Environ. Res. Lett. 4 (2009)</w:t>
      </w:r>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The Wal-Mart equivalencies are calculated using information from Courtemanch, A. and L. Bensheimer. (2005). Environmental Impacts of the Proposed Wal-Mart Supercenter in Potsdam. Conservation Biology</w:t>
      </w:r>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Energy Star. (2009). Save Money and More with ENERGY STAR Qualified Heat Pump Water Heaters. Retrieved from: http://www.energystar.gov/index.cfm?c=heat_ pump.pr_savings_benefits</w:t>
      </w:r>
      <w:r w:rsidRPr="00FC2EE0">
        <w:rPr>
          <w:rFonts w:ascii="Times" w:hAnsi="Times"/>
          <w:color w:val="000000" w:themeColor="text1"/>
        </w:rPr>
        <w:br/>
        <w:t>HD-Supply. (2009). HD Supply Utilities offers new GE</w:t>
      </w:r>
      <w:r w:rsidRPr="00FC2EE0">
        <w:rPr>
          <w:rFonts w:ascii="Times" w:hAnsi="Times"/>
          <w:b/>
          <w:bCs/>
          <w:color w:val="000000" w:themeColor="text1"/>
        </w:rPr>
        <w:t xml:space="preserve">® </w:t>
      </w:r>
      <w:r w:rsidRPr="00FC2EE0">
        <w:rPr>
          <w:rFonts w:ascii="Times" w:hAnsi="Times"/>
          <w:color w:val="000000" w:themeColor="text1"/>
        </w:rPr>
        <w:t>hybrid water heater with energy efficiency and demand response capability.  Retrieved from:  http://www.hdsupply.com/pressroom/downloads/ HD%20Supply%20GE% 20Press%20Release.pdf</w:t>
      </w:r>
    </w:p>
    <w:p w:rsidR="001D371D" w:rsidRDefault="00FC2EE0" w:rsidP="001D371D">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 xml:space="preserve">Energy Efficiency and Renewable Energy. (2008). </w:t>
      </w:r>
      <w:r w:rsidRPr="00FC2EE0">
        <w:rPr>
          <w:rFonts w:ascii="Times" w:hAnsi="Times"/>
          <w:bCs/>
          <w:color w:val="000000" w:themeColor="text1"/>
        </w:rPr>
        <w:t xml:space="preserve">Benefits of Geothermal Heat Pump Systems. Retrieved from: </w:t>
      </w:r>
      <w:r w:rsidRPr="00FC2EE0">
        <w:rPr>
          <w:rFonts w:ascii="Times" w:hAnsi="Times"/>
          <w:color w:val="000000" w:themeColor="text1"/>
        </w:rPr>
        <w:t>http://www.energysavers.gov/your_home/space_heating_cooling/index.cfm/ mytopic=12660</w:t>
      </w:r>
    </w:p>
    <w:p w:rsidR="001D371D" w:rsidRPr="001D371D" w:rsidRDefault="00FC2EE0" w:rsidP="001D371D">
      <w:pPr>
        <w:pStyle w:val="ListParagraph"/>
        <w:numPr>
          <w:ilvl w:val="0"/>
          <w:numId w:val="1"/>
        </w:numPr>
        <w:spacing w:after="0" w:line="240" w:lineRule="auto"/>
        <w:rPr>
          <w:rFonts w:ascii="Times" w:hAnsi="Times"/>
          <w:color w:val="000000" w:themeColor="text1"/>
        </w:rPr>
      </w:pPr>
      <w:r w:rsidRPr="001D371D">
        <w:rPr>
          <w:rFonts w:ascii="Times" w:hAnsi="Times"/>
          <w:bCs/>
          <w:color w:val="000000" w:themeColor="text1"/>
        </w:rPr>
        <w:t xml:space="preserve">Energy Efficiency and Renewable Energy, Industrial Technologies Program. (2008). Super Boiler: A Super Hero of Steam Generation. </w:t>
      </w:r>
      <w:r w:rsidRPr="001D371D">
        <w:rPr>
          <w:rFonts w:ascii="Times" w:hAnsi="Times"/>
          <w:color w:val="000000" w:themeColor="text1"/>
        </w:rPr>
        <w:t>http://www1.eere.energy.gov/industry/bestpractices/ energymatters/archives/winter2008.html#a265</w:t>
      </w:r>
    </w:p>
    <w:p w:rsidR="001D371D" w:rsidRPr="001D371D" w:rsidRDefault="001D371D" w:rsidP="001D371D">
      <w:pPr>
        <w:pStyle w:val="ListParagraph"/>
        <w:numPr>
          <w:ilvl w:val="0"/>
          <w:numId w:val="1"/>
        </w:numPr>
        <w:spacing w:after="0" w:line="240" w:lineRule="auto"/>
        <w:rPr>
          <w:rFonts w:ascii="Times" w:hAnsi="Times"/>
          <w:color w:val="000000" w:themeColor="text1"/>
        </w:rPr>
      </w:pPr>
      <w:r w:rsidRPr="001D371D">
        <w:rPr>
          <w:rFonts w:ascii="Times" w:hAnsi="Times"/>
        </w:rPr>
        <w:t>Energy Information Administration. (2009). State Energy Data System. Retrieved from: http://www.eia.doe.gov/ emeu/states/_seds.html.</w:t>
      </w:r>
    </w:p>
    <w:p w:rsidR="001D371D" w:rsidRPr="001D371D" w:rsidRDefault="001D371D" w:rsidP="001D371D">
      <w:pPr>
        <w:pStyle w:val="ListParagraph"/>
        <w:numPr>
          <w:ilvl w:val="0"/>
          <w:numId w:val="1"/>
        </w:numPr>
        <w:spacing w:after="0" w:line="240" w:lineRule="auto"/>
        <w:rPr>
          <w:rFonts w:ascii="Times" w:hAnsi="Times"/>
          <w:color w:val="000000" w:themeColor="text1"/>
        </w:rPr>
      </w:pPr>
      <w:r w:rsidRPr="001D371D">
        <w:rPr>
          <w:rFonts w:ascii="Times" w:hAnsi="Times"/>
        </w:rPr>
        <w:t xml:space="preserve">Bureau of Labor Statistics.  (2010) Civilian labor force and unemployment by state and selected area, seasonally adjusted (Last modified: January 22, 2010, Accessed: March 9, 2010). http://www.bls.gov/news.release/laus. t03.htm  </w:t>
      </w:r>
    </w:p>
    <w:p w:rsidR="001D371D" w:rsidRPr="001D371D" w:rsidRDefault="001D371D" w:rsidP="001D371D">
      <w:pPr>
        <w:pStyle w:val="ListParagraph"/>
        <w:numPr>
          <w:ilvl w:val="0"/>
          <w:numId w:val="1"/>
        </w:numPr>
        <w:spacing w:after="0" w:line="240" w:lineRule="auto"/>
        <w:rPr>
          <w:rFonts w:ascii="Times" w:hAnsi="Times"/>
          <w:color w:val="000000" w:themeColor="text1"/>
        </w:rPr>
      </w:pPr>
      <w:r w:rsidRPr="001D371D">
        <w:rPr>
          <w:rFonts w:ascii="Times" w:hAnsi="Times"/>
        </w:rPr>
        <w:t>2007 GSP in 2007$: Bureau of Economic Analysis.  (2008). GDP by State. Retrieved from: http://www.bea.gov/ newsreleases/regional/gdp_state/gsp_newsrelease.htm.</w:t>
      </w:r>
    </w:p>
    <w:p w:rsidR="00FC2EE0" w:rsidRPr="00FC2EE0" w:rsidRDefault="00FC2EE0" w:rsidP="00FC2EE0">
      <w:pPr>
        <w:pStyle w:val="ListParagraph"/>
        <w:numPr>
          <w:ilvl w:val="0"/>
          <w:numId w:val="1"/>
        </w:numPr>
        <w:spacing w:after="0" w:line="240" w:lineRule="auto"/>
        <w:rPr>
          <w:rFonts w:ascii="Times" w:hAnsi="Times"/>
          <w:color w:val="000000" w:themeColor="text1"/>
        </w:rPr>
      </w:pPr>
      <w:r w:rsidRPr="00FC2EE0">
        <w:rPr>
          <w:rFonts w:ascii="Times" w:hAnsi="Times"/>
          <w:color w:val="000000" w:themeColor="text1"/>
        </w:rPr>
        <w:t>Jagged industrial energy consumption, particularly natural gas, in the East South Central division causes the baseline forecast to fluctuate.</w:t>
      </w:r>
    </w:p>
    <w:p w:rsidR="009249FB" w:rsidRPr="00FC2EE0" w:rsidRDefault="009249FB" w:rsidP="00FC2EE0">
      <w:pPr>
        <w:spacing w:after="0"/>
        <w:rPr>
          <w:rFonts w:ascii="Times" w:hAnsi="Times"/>
          <w:b/>
          <w:color w:val="000000" w:themeColor="text1"/>
          <w:sz w:val="24"/>
          <w:szCs w:val="24"/>
        </w:rPr>
      </w:pPr>
    </w:p>
    <w:sectPr w:rsidR="009249FB" w:rsidRPr="00FC2EE0" w:rsidSect="00CB09C8">
      <w:headerReference w:type="even" r:id="rId28"/>
      <w:headerReference w:type="default" r:id="rId29"/>
      <w:footerReference w:type="even" r:id="rId30"/>
      <w:footerReference w:type="default" r:id="rId31"/>
      <w:headerReference w:type="first" r:id="rId3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93" w:rsidRDefault="00C04793" w:rsidP="00DB06C7">
      <w:pPr>
        <w:spacing w:after="0" w:line="240" w:lineRule="auto"/>
      </w:pPr>
      <w:r>
        <w:separator/>
      </w:r>
    </w:p>
  </w:endnote>
  <w:endnote w:type="continuationSeparator" w:id="0">
    <w:p w:rsidR="00C04793" w:rsidRDefault="00C04793" w:rsidP="00DB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01" w:rsidRDefault="00B67382" w:rsidP="0071207A">
    <w:pPr>
      <w:pStyle w:val="Footer"/>
      <w:framePr w:wrap="around" w:vAnchor="text" w:hAnchor="margin" w:xAlign="center" w:y="1"/>
      <w:rPr>
        <w:rStyle w:val="PageNumber"/>
      </w:rPr>
    </w:pPr>
    <w:r>
      <w:rPr>
        <w:rStyle w:val="PageNumber"/>
      </w:rPr>
      <w:fldChar w:fldCharType="begin"/>
    </w:r>
    <w:r w:rsidR="00D43801">
      <w:rPr>
        <w:rStyle w:val="PageNumber"/>
      </w:rPr>
      <w:instrText xml:space="preserve">PAGE  </w:instrText>
    </w:r>
    <w:r>
      <w:rPr>
        <w:rStyle w:val="PageNumber"/>
      </w:rPr>
      <w:fldChar w:fldCharType="end"/>
    </w:r>
  </w:p>
  <w:p w:rsidR="00D43801" w:rsidRDefault="00D4380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01" w:rsidRDefault="00B67382" w:rsidP="0071207A">
    <w:pPr>
      <w:pStyle w:val="Footer"/>
      <w:framePr w:wrap="around" w:vAnchor="text" w:hAnchor="margin" w:xAlign="center" w:y="1"/>
      <w:rPr>
        <w:rStyle w:val="PageNumber"/>
      </w:rPr>
    </w:pPr>
    <w:r>
      <w:rPr>
        <w:rStyle w:val="PageNumber"/>
      </w:rPr>
      <w:fldChar w:fldCharType="begin"/>
    </w:r>
    <w:r w:rsidR="00D43801">
      <w:rPr>
        <w:rStyle w:val="PageNumber"/>
      </w:rPr>
      <w:instrText xml:space="preserve">PAGE  </w:instrText>
    </w:r>
    <w:r>
      <w:rPr>
        <w:rStyle w:val="PageNumber"/>
      </w:rPr>
      <w:fldChar w:fldCharType="separate"/>
    </w:r>
    <w:r w:rsidR="00F70AC8">
      <w:rPr>
        <w:rStyle w:val="PageNumber"/>
        <w:noProof/>
      </w:rPr>
      <w:t>1</w:t>
    </w:r>
    <w:r>
      <w:rPr>
        <w:rStyle w:val="PageNumber"/>
      </w:rPr>
      <w:fldChar w:fldCharType="end"/>
    </w:r>
  </w:p>
  <w:p w:rsidR="00D43801" w:rsidRPr="00DB06C7" w:rsidRDefault="00D43801" w:rsidP="00E63B8F">
    <w:pPr>
      <w:pStyle w:val="Footer"/>
      <w:jc w:val="center"/>
      <w:rPr>
        <w:rFonts w:ascii="Times New Roman" w:hAnsi="Times New Roman"/>
      </w:rPr>
    </w:pPr>
  </w:p>
  <w:p w:rsidR="00D43801" w:rsidRDefault="00D4380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93" w:rsidRDefault="00C04793" w:rsidP="00DB06C7">
      <w:pPr>
        <w:spacing w:after="0" w:line="240" w:lineRule="auto"/>
      </w:pPr>
      <w:r>
        <w:separator/>
      </w:r>
    </w:p>
  </w:footnote>
  <w:footnote w:type="continuationSeparator" w:id="0">
    <w:p w:rsidR="00C04793" w:rsidRDefault="00C04793" w:rsidP="00DB06C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01" w:rsidRDefault="00D4380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01" w:rsidRPr="00C95F18" w:rsidRDefault="00D43801" w:rsidP="00C95F18">
    <w:pPr>
      <w:pStyle w:val="Header"/>
      <w:spacing w:after="0"/>
      <w:jc w:val="center"/>
      <w:rPr>
        <w:rFonts w:ascii="Times" w:hAnsi="Times"/>
        <w:b/>
        <w:color w:val="FF0000"/>
        <w:sz w:val="30"/>
        <w:szCs w:val="24"/>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01" w:rsidRDefault="00D4380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5B1"/>
    <w:multiLevelType w:val="hybridMultilevel"/>
    <w:tmpl w:val="117C2BE2"/>
    <w:lvl w:ilvl="0" w:tplc="F8C42A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22960"/>
    <w:rsid w:val="00005485"/>
    <w:rsid w:val="00007DA9"/>
    <w:rsid w:val="00016C51"/>
    <w:rsid w:val="00046BC7"/>
    <w:rsid w:val="000719B8"/>
    <w:rsid w:val="000728E1"/>
    <w:rsid w:val="00075B5F"/>
    <w:rsid w:val="000808A7"/>
    <w:rsid w:val="00081F6A"/>
    <w:rsid w:val="000873BF"/>
    <w:rsid w:val="00093621"/>
    <w:rsid w:val="000946E9"/>
    <w:rsid w:val="00094CFF"/>
    <w:rsid w:val="000A5FB1"/>
    <w:rsid w:val="000C3BE0"/>
    <w:rsid w:val="000D2382"/>
    <w:rsid w:val="000E35F0"/>
    <w:rsid w:val="000F62A9"/>
    <w:rsid w:val="00104124"/>
    <w:rsid w:val="0011752F"/>
    <w:rsid w:val="00147071"/>
    <w:rsid w:val="00153BD2"/>
    <w:rsid w:val="00167D9E"/>
    <w:rsid w:val="00170F05"/>
    <w:rsid w:val="00171960"/>
    <w:rsid w:val="00182854"/>
    <w:rsid w:val="001869B4"/>
    <w:rsid w:val="00191C74"/>
    <w:rsid w:val="001A031A"/>
    <w:rsid w:val="001B087F"/>
    <w:rsid w:val="001B4D4A"/>
    <w:rsid w:val="001D02EB"/>
    <w:rsid w:val="001D371D"/>
    <w:rsid w:val="001E40E7"/>
    <w:rsid w:val="00235AB4"/>
    <w:rsid w:val="0025208A"/>
    <w:rsid w:val="00266CC6"/>
    <w:rsid w:val="00267DEA"/>
    <w:rsid w:val="002A061D"/>
    <w:rsid w:val="002B535D"/>
    <w:rsid w:val="002B6C73"/>
    <w:rsid w:val="002C3E25"/>
    <w:rsid w:val="002E1489"/>
    <w:rsid w:val="002F6D70"/>
    <w:rsid w:val="00307B25"/>
    <w:rsid w:val="00311F16"/>
    <w:rsid w:val="0031499A"/>
    <w:rsid w:val="00324C99"/>
    <w:rsid w:val="00337E8E"/>
    <w:rsid w:val="00342238"/>
    <w:rsid w:val="00343CBC"/>
    <w:rsid w:val="003440B8"/>
    <w:rsid w:val="0035421A"/>
    <w:rsid w:val="00373B99"/>
    <w:rsid w:val="003A1211"/>
    <w:rsid w:val="003A26AB"/>
    <w:rsid w:val="003A68E0"/>
    <w:rsid w:val="003E62A4"/>
    <w:rsid w:val="003F4918"/>
    <w:rsid w:val="004016B3"/>
    <w:rsid w:val="004214D2"/>
    <w:rsid w:val="0042183A"/>
    <w:rsid w:val="004319EB"/>
    <w:rsid w:val="00441300"/>
    <w:rsid w:val="004435F2"/>
    <w:rsid w:val="00452B73"/>
    <w:rsid w:val="004719AB"/>
    <w:rsid w:val="004731D3"/>
    <w:rsid w:val="00477380"/>
    <w:rsid w:val="00482F89"/>
    <w:rsid w:val="004862F2"/>
    <w:rsid w:val="00486BB3"/>
    <w:rsid w:val="00495B41"/>
    <w:rsid w:val="004A0AB6"/>
    <w:rsid w:val="004A4B52"/>
    <w:rsid w:val="004D4566"/>
    <w:rsid w:val="004E2225"/>
    <w:rsid w:val="004E7C48"/>
    <w:rsid w:val="004F3E4F"/>
    <w:rsid w:val="00526308"/>
    <w:rsid w:val="005307BF"/>
    <w:rsid w:val="005408CC"/>
    <w:rsid w:val="00544F2D"/>
    <w:rsid w:val="00557655"/>
    <w:rsid w:val="0056169B"/>
    <w:rsid w:val="005646C4"/>
    <w:rsid w:val="00576FC2"/>
    <w:rsid w:val="005871F6"/>
    <w:rsid w:val="00587BEF"/>
    <w:rsid w:val="005B13F9"/>
    <w:rsid w:val="005B6CA5"/>
    <w:rsid w:val="005C01BE"/>
    <w:rsid w:val="005D25FA"/>
    <w:rsid w:val="005E1D85"/>
    <w:rsid w:val="005F00CC"/>
    <w:rsid w:val="006149C1"/>
    <w:rsid w:val="006252C9"/>
    <w:rsid w:val="006362BC"/>
    <w:rsid w:val="006437A1"/>
    <w:rsid w:val="00661D3E"/>
    <w:rsid w:val="00670A53"/>
    <w:rsid w:val="00676579"/>
    <w:rsid w:val="00682E48"/>
    <w:rsid w:val="006952A0"/>
    <w:rsid w:val="006B3B69"/>
    <w:rsid w:val="006B68ED"/>
    <w:rsid w:val="006C53A1"/>
    <w:rsid w:val="006F23CF"/>
    <w:rsid w:val="006F7340"/>
    <w:rsid w:val="007054AC"/>
    <w:rsid w:val="00710621"/>
    <w:rsid w:val="0071207A"/>
    <w:rsid w:val="00714238"/>
    <w:rsid w:val="007270A3"/>
    <w:rsid w:val="0073105C"/>
    <w:rsid w:val="007331E9"/>
    <w:rsid w:val="007457A8"/>
    <w:rsid w:val="00750E7E"/>
    <w:rsid w:val="00761A5B"/>
    <w:rsid w:val="00785283"/>
    <w:rsid w:val="007976BA"/>
    <w:rsid w:val="007A24CF"/>
    <w:rsid w:val="007B0AF8"/>
    <w:rsid w:val="007B4FAB"/>
    <w:rsid w:val="007C4677"/>
    <w:rsid w:val="007C6AEA"/>
    <w:rsid w:val="007D0469"/>
    <w:rsid w:val="007E79CB"/>
    <w:rsid w:val="007F3218"/>
    <w:rsid w:val="008023A2"/>
    <w:rsid w:val="00805019"/>
    <w:rsid w:val="008074F6"/>
    <w:rsid w:val="008106BE"/>
    <w:rsid w:val="00810E9F"/>
    <w:rsid w:val="00811133"/>
    <w:rsid w:val="008203BE"/>
    <w:rsid w:val="008341D3"/>
    <w:rsid w:val="00876F96"/>
    <w:rsid w:val="008811F5"/>
    <w:rsid w:val="008C1DEE"/>
    <w:rsid w:val="008C299A"/>
    <w:rsid w:val="008C3135"/>
    <w:rsid w:val="008C3A23"/>
    <w:rsid w:val="008D644D"/>
    <w:rsid w:val="008E2630"/>
    <w:rsid w:val="008E285C"/>
    <w:rsid w:val="009142D7"/>
    <w:rsid w:val="00915EB2"/>
    <w:rsid w:val="009249FB"/>
    <w:rsid w:val="009309C8"/>
    <w:rsid w:val="00951B8B"/>
    <w:rsid w:val="00964D82"/>
    <w:rsid w:val="00965063"/>
    <w:rsid w:val="00967C51"/>
    <w:rsid w:val="00974985"/>
    <w:rsid w:val="00977417"/>
    <w:rsid w:val="009A2AA7"/>
    <w:rsid w:val="009A43EC"/>
    <w:rsid w:val="009B25C6"/>
    <w:rsid w:val="009C099A"/>
    <w:rsid w:val="009D4DB1"/>
    <w:rsid w:val="009E3934"/>
    <w:rsid w:val="009E6A2F"/>
    <w:rsid w:val="009F08C1"/>
    <w:rsid w:val="00A01E2B"/>
    <w:rsid w:val="00A032C4"/>
    <w:rsid w:val="00A03F2C"/>
    <w:rsid w:val="00A11651"/>
    <w:rsid w:val="00A13F8E"/>
    <w:rsid w:val="00A31964"/>
    <w:rsid w:val="00A35B75"/>
    <w:rsid w:val="00A46673"/>
    <w:rsid w:val="00A50C8E"/>
    <w:rsid w:val="00A52DA7"/>
    <w:rsid w:val="00A63267"/>
    <w:rsid w:val="00A81964"/>
    <w:rsid w:val="00AA2E76"/>
    <w:rsid w:val="00AC52A5"/>
    <w:rsid w:val="00AE4785"/>
    <w:rsid w:val="00B3499D"/>
    <w:rsid w:val="00B34DDE"/>
    <w:rsid w:val="00B36E1A"/>
    <w:rsid w:val="00B56BA6"/>
    <w:rsid w:val="00B67382"/>
    <w:rsid w:val="00B71D6C"/>
    <w:rsid w:val="00B76CE1"/>
    <w:rsid w:val="00B813F3"/>
    <w:rsid w:val="00B944F5"/>
    <w:rsid w:val="00BA6883"/>
    <w:rsid w:val="00BB536F"/>
    <w:rsid w:val="00BE144B"/>
    <w:rsid w:val="00BE52B8"/>
    <w:rsid w:val="00BE7978"/>
    <w:rsid w:val="00BF7591"/>
    <w:rsid w:val="00C04793"/>
    <w:rsid w:val="00C10EBE"/>
    <w:rsid w:val="00C15B0B"/>
    <w:rsid w:val="00C2383A"/>
    <w:rsid w:val="00C34F32"/>
    <w:rsid w:val="00C361B1"/>
    <w:rsid w:val="00C36F63"/>
    <w:rsid w:val="00C4386C"/>
    <w:rsid w:val="00C44DA8"/>
    <w:rsid w:val="00C52CAB"/>
    <w:rsid w:val="00C83C5D"/>
    <w:rsid w:val="00C87BFA"/>
    <w:rsid w:val="00C95F18"/>
    <w:rsid w:val="00CB09C8"/>
    <w:rsid w:val="00CC02A9"/>
    <w:rsid w:val="00CC72EC"/>
    <w:rsid w:val="00CD2B48"/>
    <w:rsid w:val="00CF65E1"/>
    <w:rsid w:val="00D22960"/>
    <w:rsid w:val="00D40ACD"/>
    <w:rsid w:val="00D43801"/>
    <w:rsid w:val="00D46B7E"/>
    <w:rsid w:val="00D505DA"/>
    <w:rsid w:val="00D6570F"/>
    <w:rsid w:val="00D66686"/>
    <w:rsid w:val="00D84B91"/>
    <w:rsid w:val="00DA5C1C"/>
    <w:rsid w:val="00DB06C7"/>
    <w:rsid w:val="00DB07AE"/>
    <w:rsid w:val="00DC0660"/>
    <w:rsid w:val="00DC2891"/>
    <w:rsid w:val="00DC3987"/>
    <w:rsid w:val="00DC4D35"/>
    <w:rsid w:val="00DE09D4"/>
    <w:rsid w:val="00DF3706"/>
    <w:rsid w:val="00E02876"/>
    <w:rsid w:val="00E056A3"/>
    <w:rsid w:val="00E13787"/>
    <w:rsid w:val="00E16737"/>
    <w:rsid w:val="00E4249F"/>
    <w:rsid w:val="00E4758F"/>
    <w:rsid w:val="00E50C50"/>
    <w:rsid w:val="00E53B4E"/>
    <w:rsid w:val="00E62480"/>
    <w:rsid w:val="00E63B8F"/>
    <w:rsid w:val="00E66903"/>
    <w:rsid w:val="00E82BC6"/>
    <w:rsid w:val="00E8326B"/>
    <w:rsid w:val="00E974F3"/>
    <w:rsid w:val="00EA0E40"/>
    <w:rsid w:val="00EA1AA7"/>
    <w:rsid w:val="00EB71CE"/>
    <w:rsid w:val="00ED344B"/>
    <w:rsid w:val="00F1650D"/>
    <w:rsid w:val="00F23529"/>
    <w:rsid w:val="00F43548"/>
    <w:rsid w:val="00F5224B"/>
    <w:rsid w:val="00F5304F"/>
    <w:rsid w:val="00F55866"/>
    <w:rsid w:val="00F70AC8"/>
    <w:rsid w:val="00F73BD4"/>
    <w:rsid w:val="00F764DD"/>
    <w:rsid w:val="00F87C40"/>
    <w:rsid w:val="00F9168B"/>
    <w:rsid w:val="00FA0DBB"/>
    <w:rsid w:val="00FA1F72"/>
    <w:rsid w:val="00FB1B94"/>
    <w:rsid w:val="00FC2EE0"/>
    <w:rsid w:val="00FC41FA"/>
    <w:rsid w:val="00FC5462"/>
    <w:rsid w:val="00FD1AA1"/>
    <w:rsid w:val="00FF27C5"/>
  </w:rsids>
  <m:mathPr>
    <m:mathFont m:val="SimSun"/>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D2"/>
    <w:pPr>
      <w:spacing w:after="200" w:line="276" w:lineRule="auto"/>
    </w:pPr>
    <w:rPr>
      <w:sz w:val="22"/>
      <w:szCs w:val="22"/>
    </w:rPr>
  </w:style>
  <w:style w:type="paragraph" w:styleId="Heading1">
    <w:name w:val="heading 1"/>
    <w:basedOn w:val="Normal"/>
    <w:link w:val="Heading1Char"/>
    <w:uiPriority w:val="9"/>
    <w:qFormat/>
    <w:rsid w:val="001D371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73634B"/>
    <w:rPr>
      <w:rFonts w:ascii="Lucida Grande" w:hAnsi="Lucida Grande"/>
      <w:sz w:val="18"/>
      <w:szCs w:val="18"/>
    </w:rPr>
  </w:style>
  <w:style w:type="character" w:customStyle="1" w:styleId="BalloonTextChar3">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semiHidden/>
    <w:unhideWhenUsed/>
    <w:rsid w:val="00D46B7E"/>
    <w:rPr>
      <w:sz w:val="20"/>
      <w:szCs w:val="20"/>
    </w:rPr>
  </w:style>
  <w:style w:type="character" w:customStyle="1" w:styleId="EndnoteTextChar">
    <w:name w:val="Endnote Text Char"/>
    <w:basedOn w:val="DefaultParagraphFont"/>
    <w:link w:val="EndnoteText"/>
    <w:uiPriority w:val="99"/>
    <w:semiHidden/>
    <w:rsid w:val="00D46B7E"/>
  </w:style>
  <w:style w:type="character" w:styleId="EndnoteReference">
    <w:name w:val="endnote reference"/>
    <w:basedOn w:val="DefaultParagraphFont"/>
    <w:uiPriority w:val="99"/>
    <w:semiHidden/>
    <w:unhideWhenUsed/>
    <w:rsid w:val="00D46B7E"/>
    <w:rPr>
      <w:vertAlign w:val="superscript"/>
    </w:rPr>
  </w:style>
  <w:style w:type="character" w:styleId="CommentReference">
    <w:name w:val="annotation reference"/>
    <w:basedOn w:val="DefaultParagraphFont"/>
    <w:uiPriority w:val="99"/>
    <w:semiHidden/>
    <w:unhideWhenUsed/>
    <w:rsid w:val="006252C9"/>
    <w:rPr>
      <w:sz w:val="16"/>
      <w:szCs w:val="16"/>
    </w:rPr>
  </w:style>
  <w:style w:type="paragraph" w:styleId="CommentText">
    <w:name w:val="annotation text"/>
    <w:basedOn w:val="Normal"/>
    <w:link w:val="CommentTextChar"/>
    <w:uiPriority w:val="99"/>
    <w:semiHidden/>
    <w:unhideWhenUsed/>
    <w:rsid w:val="006252C9"/>
    <w:pPr>
      <w:spacing w:line="240" w:lineRule="auto"/>
    </w:pPr>
    <w:rPr>
      <w:sz w:val="20"/>
      <w:szCs w:val="20"/>
    </w:rPr>
  </w:style>
  <w:style w:type="character" w:customStyle="1" w:styleId="CommentTextChar">
    <w:name w:val="Comment Text Char"/>
    <w:basedOn w:val="DefaultParagraphFont"/>
    <w:link w:val="CommentText"/>
    <w:uiPriority w:val="99"/>
    <w:semiHidden/>
    <w:rsid w:val="006252C9"/>
  </w:style>
  <w:style w:type="paragraph" w:styleId="CommentSubject">
    <w:name w:val="annotation subject"/>
    <w:basedOn w:val="CommentText"/>
    <w:next w:val="CommentText"/>
    <w:link w:val="CommentSubjectChar"/>
    <w:uiPriority w:val="99"/>
    <w:semiHidden/>
    <w:unhideWhenUsed/>
    <w:rsid w:val="006252C9"/>
    <w:rPr>
      <w:b/>
      <w:bCs/>
    </w:rPr>
  </w:style>
  <w:style w:type="character" w:customStyle="1" w:styleId="CommentSubjectChar">
    <w:name w:val="Comment Subject Char"/>
    <w:basedOn w:val="CommentTextChar"/>
    <w:link w:val="CommentSubject"/>
    <w:uiPriority w:val="99"/>
    <w:semiHidden/>
    <w:rsid w:val="006252C9"/>
    <w:rPr>
      <w:b/>
      <w:bCs/>
    </w:rPr>
  </w:style>
  <w:style w:type="paragraph" w:styleId="HTMLPreformatted">
    <w:name w:val="HTML Preformatted"/>
    <w:basedOn w:val="Normal"/>
    <w:link w:val="HTMLPreformattedChar"/>
    <w:uiPriority w:val="99"/>
    <w:unhideWhenUsed/>
    <w:rsid w:val="0043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319EB"/>
    <w:rPr>
      <w:rFonts w:ascii="Courier New" w:eastAsia="Times New Roman" w:hAnsi="Courier New" w:cs="Courier New"/>
      <w:lang w:eastAsia="en-US"/>
    </w:rPr>
  </w:style>
  <w:style w:type="paragraph" w:customStyle="1" w:styleId="Default">
    <w:name w:val="Default"/>
    <w:rsid w:val="004319EB"/>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FC2EE0"/>
    <w:rPr>
      <w:color w:val="0000FF"/>
      <w:u w:val="single"/>
    </w:rPr>
  </w:style>
  <w:style w:type="paragraph" w:styleId="ListParagraph">
    <w:name w:val="List Paragraph"/>
    <w:basedOn w:val="Normal"/>
    <w:rsid w:val="00FC2EE0"/>
    <w:pPr>
      <w:ind w:left="720"/>
      <w:contextualSpacing/>
    </w:pPr>
  </w:style>
  <w:style w:type="paragraph" w:styleId="FootnoteText">
    <w:name w:val="footnote text"/>
    <w:basedOn w:val="Normal"/>
    <w:link w:val="FootnoteTextChar"/>
    <w:rsid w:val="004435F2"/>
    <w:rPr>
      <w:sz w:val="24"/>
      <w:szCs w:val="24"/>
    </w:rPr>
  </w:style>
  <w:style w:type="character" w:customStyle="1" w:styleId="FootnoteTextChar">
    <w:name w:val="Footnote Text Char"/>
    <w:basedOn w:val="DefaultParagraphFont"/>
    <w:link w:val="FootnoteText"/>
    <w:uiPriority w:val="99"/>
    <w:rsid w:val="004435F2"/>
    <w:rPr>
      <w:sz w:val="24"/>
      <w:szCs w:val="24"/>
    </w:rPr>
  </w:style>
  <w:style w:type="character" w:styleId="FootnoteReference">
    <w:name w:val="footnote reference"/>
    <w:basedOn w:val="DefaultParagraphFont"/>
    <w:uiPriority w:val="99"/>
    <w:semiHidden/>
    <w:rsid w:val="004435F2"/>
    <w:rPr>
      <w:vertAlign w:val="superscript"/>
    </w:rPr>
  </w:style>
  <w:style w:type="paragraph" w:styleId="TOC1">
    <w:name w:val="toc 1"/>
    <w:basedOn w:val="Normal"/>
    <w:next w:val="Normal"/>
    <w:autoRedefine/>
    <w:uiPriority w:val="39"/>
    <w:unhideWhenUsed/>
    <w:qFormat/>
    <w:rsid w:val="00BB536F"/>
    <w:pPr>
      <w:spacing w:after="100" w:line="240" w:lineRule="auto"/>
    </w:pPr>
    <w:rPr>
      <w:rFonts w:ascii="Times New Roman" w:eastAsia="Times New Roman" w:hAnsi="Times New Roman"/>
      <w:sz w:val="24"/>
      <w:szCs w:val="24"/>
      <w:lang w:eastAsia="en-US"/>
    </w:rPr>
  </w:style>
  <w:style w:type="character" w:styleId="PageNumber">
    <w:name w:val="page number"/>
    <w:basedOn w:val="DefaultParagraphFont"/>
    <w:uiPriority w:val="99"/>
    <w:semiHidden/>
    <w:unhideWhenUsed/>
    <w:rsid w:val="00C36F63"/>
  </w:style>
  <w:style w:type="character" w:customStyle="1" w:styleId="apple-style-span">
    <w:name w:val="apple-style-span"/>
    <w:basedOn w:val="DefaultParagraphFont"/>
    <w:rsid w:val="00BE144B"/>
  </w:style>
  <w:style w:type="character" w:customStyle="1" w:styleId="Heading1Char">
    <w:name w:val="Heading 1 Char"/>
    <w:basedOn w:val="DefaultParagraphFont"/>
    <w:link w:val="Heading1"/>
    <w:uiPriority w:val="9"/>
    <w:rsid w:val="001D371D"/>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1.xml"/><Relationship Id="rId21" Type="http://schemas.openxmlformats.org/officeDocument/2006/relationships/hyperlink" Target="http://www.ef.org" TargetMode="External"/><Relationship Id="rId22" Type="http://schemas.openxmlformats.org/officeDocument/2006/relationships/hyperlink" Target="http://www.kresge.org" TargetMode="External"/><Relationship Id="rId23" Type="http://schemas.openxmlformats.org/officeDocument/2006/relationships/hyperlink" Target="http://www.turnerfoundation.org" TargetMode="External"/><Relationship Id="rId24" Type="http://schemas.openxmlformats.org/officeDocument/2006/relationships/hyperlink" Target="http://www.census.gov" TargetMode="External"/><Relationship Id="rId25" Type="http://schemas.openxmlformats.org/officeDocument/2006/relationships/hyperlink" Target="http://www.eia.doe.gov/emeu/states/_seds.html" TargetMode="External"/><Relationship Id="rId26" Type="http://schemas.openxmlformats.org/officeDocument/2006/relationships/hyperlink" Target="http://aceee.org" TargetMode="External"/><Relationship Id="rId27" Type="http://schemas.openxmlformats.org/officeDocument/2006/relationships/hyperlink" Target="http://www.spp.gatech.edu/faculty/workingpapers/wp51.pdf"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F_Study\EF_State_Profile\State%20profile%20graphs%200227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1401965106873"/>
          <c:y val="0.0601851851851851"/>
          <c:w val="0.8024031632391"/>
          <c:h val="0.794120370370374"/>
        </c:manualLayout>
      </c:layout>
      <c:barChart>
        <c:barDir val="bar"/>
        <c:grouping val="clustered"/>
        <c:ser>
          <c:idx val="0"/>
          <c:order val="0"/>
          <c:cat>
            <c:strRef>
              <c:f>('historical by state 2'!$B$1,'historical by state 2'!$C$1,'historical by state 2'!$E$1)</c:f>
              <c:strCache>
                <c:ptCount val="3"/>
                <c:pt idx="0">
                  <c:v>United States 
101,600 TBtu</c:v>
                </c:pt>
                <c:pt idx="1">
                  <c:v>South Region 
43,650 TBtu</c:v>
                </c:pt>
                <c:pt idx="2">
                  <c:v>Mississippi 
1,239 TBtu</c:v>
                </c:pt>
              </c:strCache>
            </c:strRef>
          </c:cat>
          <c:val>
            <c:numRef>
              <c:f>('historical by state 2'!$B$7,'historical by state 2'!$C$7,'historical by state 2'!$E$7)</c:f>
              <c:numCache>
                <c:formatCode>#,##0.0</c:formatCode>
                <c:ptCount val="3"/>
                <c:pt idx="0" formatCode="#,##0">
                  <c:v>101600.066</c:v>
                </c:pt>
                <c:pt idx="1">
                  <c:v>43650.1</c:v>
                </c:pt>
                <c:pt idx="2" formatCode="General">
                  <c:v>1239.4</c:v>
                </c:pt>
              </c:numCache>
            </c:numRef>
          </c:val>
        </c:ser>
        <c:gapWidth val="75"/>
        <c:overlap val="-25"/>
        <c:axId val="79167480"/>
        <c:axId val="533450792"/>
      </c:barChart>
      <c:catAx>
        <c:axId val="79167480"/>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533450792"/>
        <c:crosses val="autoZero"/>
        <c:auto val="1"/>
        <c:lblAlgn val="ctr"/>
        <c:lblOffset val="100"/>
      </c:catAx>
      <c:valAx>
        <c:axId val="533450792"/>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79167480"/>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64201701199"/>
          <c:y val="0.0509259259259259"/>
          <c:w val="0.710698462235671"/>
          <c:h val="0.708803951589392"/>
        </c:manualLayout>
      </c:layout>
      <c:lineChart>
        <c:grouping val="standard"/>
        <c:ser>
          <c:idx val="0"/>
          <c:order val="0"/>
          <c:tx>
            <c:strRef>
              <c:f>'ESC STATES - Savings'!$C$474</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Savings'!$G$474:$AA$474</c:f>
              <c:numCache>
                <c:formatCode>General</c:formatCode>
                <c:ptCount val="21"/>
                <c:pt idx="0">
                  <c:v>479.6968585621686</c:v>
                </c:pt>
                <c:pt idx="1">
                  <c:v>491.9980498183996</c:v>
                </c:pt>
                <c:pt idx="2">
                  <c:v>495.1219005531226</c:v>
                </c:pt>
                <c:pt idx="3">
                  <c:v>498.8509546939061</c:v>
                </c:pt>
                <c:pt idx="4">
                  <c:v>497.3078601444128</c:v>
                </c:pt>
                <c:pt idx="5">
                  <c:v>493.871932631939</c:v>
                </c:pt>
                <c:pt idx="6">
                  <c:v>493.5758097782552</c:v>
                </c:pt>
                <c:pt idx="7">
                  <c:v>499.5709105873819</c:v>
                </c:pt>
                <c:pt idx="8">
                  <c:v>504.1491580964273</c:v>
                </c:pt>
                <c:pt idx="9">
                  <c:v>503.678947528644</c:v>
                </c:pt>
                <c:pt idx="10">
                  <c:v>506.3322736616342</c:v>
                </c:pt>
                <c:pt idx="11">
                  <c:v>513.9014997765641</c:v>
                </c:pt>
                <c:pt idx="12">
                  <c:v>516.787756335813</c:v>
                </c:pt>
                <c:pt idx="13">
                  <c:v>513.70807347796</c:v>
                </c:pt>
                <c:pt idx="14">
                  <c:v>512.0882408810577</c:v>
                </c:pt>
                <c:pt idx="15">
                  <c:v>513.8846767433181</c:v>
                </c:pt>
                <c:pt idx="16">
                  <c:v>516.1501756022756</c:v>
                </c:pt>
                <c:pt idx="17">
                  <c:v>510.8928492414603</c:v>
                </c:pt>
                <c:pt idx="18">
                  <c:v>506.6353335252537</c:v>
                </c:pt>
                <c:pt idx="19">
                  <c:v>508.3771024249957</c:v>
                </c:pt>
                <c:pt idx="20">
                  <c:v>507.0230881448263</c:v>
                </c:pt>
              </c:numCache>
            </c:numRef>
          </c:val>
        </c:ser>
        <c:ser>
          <c:idx val="1"/>
          <c:order val="1"/>
          <c:tx>
            <c:strRef>
              <c:f>'ESC STATES - Savings'!$C$475</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Savings'!$G$475:$AA$475</c:f>
              <c:numCache>
                <c:formatCode>General</c:formatCode>
                <c:ptCount val="21"/>
                <c:pt idx="0">
                  <c:v>465.2281299734757</c:v>
                </c:pt>
                <c:pt idx="1">
                  <c:v>471.533094266742</c:v>
                </c:pt>
                <c:pt idx="2">
                  <c:v>470.5219083714215</c:v>
                </c:pt>
                <c:pt idx="3">
                  <c:v>470.6240107683172</c:v>
                </c:pt>
                <c:pt idx="4">
                  <c:v>462.6027876394227</c:v>
                </c:pt>
                <c:pt idx="5">
                  <c:v>452.5339050912567</c:v>
                </c:pt>
                <c:pt idx="6">
                  <c:v>446.7892804081651</c:v>
                </c:pt>
                <c:pt idx="7">
                  <c:v>448.1803142950286</c:v>
                </c:pt>
                <c:pt idx="8">
                  <c:v>445.9975683719642</c:v>
                </c:pt>
                <c:pt idx="9">
                  <c:v>440.9427668563947</c:v>
                </c:pt>
                <c:pt idx="10">
                  <c:v>438.0236048091108</c:v>
                </c:pt>
                <c:pt idx="11">
                  <c:v>439.2052291909304</c:v>
                </c:pt>
                <c:pt idx="12">
                  <c:v>438.5236708730838</c:v>
                </c:pt>
                <c:pt idx="13">
                  <c:v>432.5365680173431</c:v>
                </c:pt>
                <c:pt idx="14">
                  <c:v>426.8595959840544</c:v>
                </c:pt>
                <c:pt idx="15">
                  <c:v>422.3117902835789</c:v>
                </c:pt>
                <c:pt idx="16">
                  <c:v>416.778984987042</c:v>
                </c:pt>
                <c:pt idx="17">
                  <c:v>405.050143355462</c:v>
                </c:pt>
                <c:pt idx="18">
                  <c:v>398.722646374267</c:v>
                </c:pt>
                <c:pt idx="19">
                  <c:v>391.7461772502348</c:v>
                </c:pt>
                <c:pt idx="20">
                  <c:v>383.8036575326076</c:v>
                </c:pt>
              </c:numCache>
            </c:numRef>
          </c:val>
        </c:ser>
        <c:marker val="1"/>
        <c:axId val="533121944"/>
        <c:axId val="533148360"/>
      </c:lineChart>
      <c:catAx>
        <c:axId val="53312194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33148360"/>
        <c:crosses val="autoZero"/>
        <c:auto val="1"/>
        <c:lblAlgn val="ctr"/>
        <c:lblOffset val="100"/>
        <c:tickLblSkip val="5"/>
        <c:tickMarkSkip val="5"/>
      </c:catAx>
      <c:valAx>
        <c:axId val="533148360"/>
        <c:scaling>
          <c:orientation val="minMax"/>
          <c:max val="550.0"/>
          <c:min val="35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121944"/>
        <c:crosses val="autoZero"/>
        <c:crossBetween val="between"/>
        <c:majorUnit val="50.0"/>
      </c:valAx>
    </c:plotArea>
    <c:legend>
      <c:legendPos val="b"/>
      <c:layout>
        <c:manualLayout>
          <c:xMode val="edge"/>
          <c:yMode val="edge"/>
          <c:x val="0.000953083989501317"/>
          <c:y val="0.887149544903379"/>
          <c:w val="0.974079263213986"/>
          <c:h val="0.108464566929134"/>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30825260373832"/>
          <c:y val="0.0552295287027499"/>
          <c:w val="0.723400846276396"/>
          <c:h val="0.721672430779254"/>
        </c:manualLayout>
      </c:layout>
      <c:barChart>
        <c:barDir val="col"/>
        <c:grouping val="stacked"/>
        <c:ser>
          <c:idx val="0"/>
          <c:order val="0"/>
          <c:tx>
            <c:strRef>
              <c:f>'ESC STATES - Savings'!$D$270</c:f>
              <c:strCache>
                <c:ptCount val="1"/>
                <c:pt idx="0">
                  <c:v>Electricity</c:v>
                </c:pt>
              </c:strCache>
            </c:strRef>
          </c:tx>
          <c:cat>
            <c:numRef>
              <c:f>('SA STATES - Savings'!$Q$4,'SA STATES - Savings'!$AA$4)</c:f>
              <c:numCache>
                <c:formatCode>General</c:formatCode>
                <c:ptCount val="2"/>
                <c:pt idx="0">
                  <c:v>2020.0</c:v>
                </c:pt>
                <c:pt idx="1">
                  <c:v>2030.0</c:v>
                </c:pt>
              </c:numCache>
            </c:numRef>
          </c:cat>
          <c:val>
            <c:numRef>
              <c:f>('ESC STATES - Savings'!$R$270,'ESC STATES - Savings'!$AB$270)</c:f>
              <c:numCache>
                <c:formatCode>General</c:formatCode>
                <c:ptCount val="2"/>
                <c:pt idx="0">
                  <c:v>26.08093159774169</c:v>
                </c:pt>
                <c:pt idx="1">
                  <c:v>48.05658752875529</c:v>
                </c:pt>
              </c:numCache>
            </c:numRef>
          </c:val>
        </c:ser>
        <c:ser>
          <c:idx val="2"/>
          <c:order val="1"/>
          <c:tx>
            <c:strRef>
              <c:f>'ESC STATES - Savings'!$D$271</c:f>
              <c:strCache>
                <c:ptCount val="1"/>
                <c:pt idx="0">
                  <c:v>Natural Gas</c:v>
                </c:pt>
              </c:strCache>
            </c:strRef>
          </c:tx>
          <c:val>
            <c:numRef>
              <c:f>('ESC STATES - Savings'!$Q$271,'ESC STATES - Savings'!$AA$271)</c:f>
              <c:numCache>
                <c:formatCode>General</c:formatCode>
                <c:ptCount val="2"/>
                <c:pt idx="0">
                  <c:v>35.12943874179906</c:v>
                </c:pt>
                <c:pt idx="1">
                  <c:v>59.71171707042871</c:v>
                </c:pt>
              </c:numCache>
            </c:numRef>
          </c:val>
        </c:ser>
        <c:ser>
          <c:idx val="3"/>
          <c:order val="2"/>
          <c:tx>
            <c:strRef>
              <c:f>'ESC STATES - Savings'!$D$273</c:f>
              <c:strCache>
                <c:ptCount val="1"/>
                <c:pt idx="0">
                  <c:v>Other</c:v>
                </c:pt>
              </c:strCache>
            </c:strRef>
          </c:tx>
          <c:spPr>
            <a:solidFill>
              <a:srgbClr val="C0504D"/>
            </a:solidFill>
          </c:spPr>
          <c:val>
            <c:numRef>
              <c:f>('ESC STATES - Savings'!$Q$276,'ESC STATES - Savings'!$AA$276)</c:f>
              <c:numCache>
                <c:formatCode>General</c:formatCode>
                <c:ptCount val="2"/>
                <c:pt idx="0">
                  <c:v>7.098298512982781</c:v>
                </c:pt>
                <c:pt idx="1">
                  <c:v>15.45112601303407</c:v>
                </c:pt>
              </c:numCache>
            </c:numRef>
          </c:val>
        </c:ser>
        <c:gapWidth val="75"/>
        <c:overlap val="100"/>
        <c:axId val="533127048"/>
        <c:axId val="533395448"/>
      </c:barChart>
      <c:catAx>
        <c:axId val="533127048"/>
        <c:scaling>
          <c:orientation val="minMax"/>
        </c:scaling>
        <c:axPos val="b"/>
        <c:numFmt formatCode="General" sourceLinked="1"/>
        <c:majorTickMark val="none"/>
        <c:tickLblPos val="nextTo"/>
        <c:crossAx val="533395448"/>
        <c:crosses val="autoZero"/>
        <c:auto val="1"/>
        <c:lblAlgn val="ctr"/>
        <c:lblOffset val="100"/>
      </c:catAx>
      <c:valAx>
        <c:axId val="533395448"/>
        <c:scaling>
          <c:orientation val="minMax"/>
          <c:max val="125.0"/>
          <c:min val="0.0"/>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533127048"/>
        <c:crosses val="autoZero"/>
        <c:crossBetween val="between"/>
        <c:majorUnit val="25.0"/>
      </c:valAx>
    </c:plotArea>
    <c:legend>
      <c:legendPos val="b"/>
      <c:layout>
        <c:manualLayout>
          <c:xMode val="edge"/>
          <c:yMode val="edge"/>
          <c:x val="0.169068897637796"/>
          <c:y val="0.863741580495213"/>
          <c:w val="0.711862204724409"/>
          <c:h val="0.136258419504791"/>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44303489841548"/>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sector'!$M$1)</c:f>
              <c:strCache>
                <c:ptCount val="3"/>
                <c:pt idx="0">
                  <c:v>United States 
101,600 TBtu</c:v>
                </c:pt>
                <c:pt idx="1">
                  <c:v>South Region 
43,650 TBtu</c:v>
                </c:pt>
                <c:pt idx="2">
                  <c:v>Mississippi 
1,239 TBtu</c:v>
                </c:pt>
              </c:strCache>
            </c:strRef>
          </c:cat>
          <c:val>
            <c:numRef>
              <c:f>('historical by sector'!$B$14,'historical by sector'!$C$14,'historical by sector'!$M$14)</c:f>
              <c:numCache>
                <c:formatCode>0.0%</c:formatCode>
                <c:ptCount val="3"/>
                <c:pt idx="0">
                  <c:v>0.214</c:v>
                </c:pt>
                <c:pt idx="1">
                  <c:v>0.195</c:v>
                </c:pt>
                <c:pt idx="2">
                  <c:v>0.189000000000001</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sector'!$M$1)</c:f>
              <c:strCache>
                <c:ptCount val="3"/>
                <c:pt idx="0">
                  <c:v>United States 
101,600 TBtu</c:v>
                </c:pt>
                <c:pt idx="1">
                  <c:v>South Region 
43,650 TBtu</c:v>
                </c:pt>
                <c:pt idx="2">
                  <c:v>Mississippi 
1,239 TBtu</c:v>
                </c:pt>
              </c:strCache>
            </c:strRef>
          </c:cat>
          <c:val>
            <c:numRef>
              <c:f>('historical by sector'!$B$15,'historical by sector'!$C$15,'historical by sector'!$M$15)</c:f>
              <c:numCache>
                <c:formatCode>0.0%</c:formatCode>
                <c:ptCount val="3"/>
                <c:pt idx="0">
                  <c:v>0.181</c:v>
                </c:pt>
                <c:pt idx="1">
                  <c:v>0.16</c:v>
                </c:pt>
                <c:pt idx="2">
                  <c:v>0.141</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sector'!$M$1)</c:f>
              <c:strCache>
                <c:ptCount val="3"/>
                <c:pt idx="0">
                  <c:v>United States 
101,600 TBtu</c:v>
                </c:pt>
                <c:pt idx="1">
                  <c:v>South Region 
43,650 TBtu</c:v>
                </c:pt>
                <c:pt idx="2">
                  <c:v>Mississippi 
1,239 TBtu</c:v>
                </c:pt>
              </c:strCache>
            </c:strRef>
          </c:cat>
          <c:val>
            <c:numRef>
              <c:f>('historical by sector'!$B$16,'historical by sector'!$C$16,'historical by sector'!$M$16)</c:f>
              <c:numCache>
                <c:formatCode>0.0%</c:formatCode>
                <c:ptCount val="3"/>
                <c:pt idx="0">
                  <c:v>0.318000000000005</c:v>
                </c:pt>
                <c:pt idx="1">
                  <c:v>0.376000000000004</c:v>
                </c:pt>
                <c:pt idx="2">
                  <c:v>0.366</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sector'!$M$1)</c:f>
              <c:strCache>
                <c:ptCount val="3"/>
                <c:pt idx="0">
                  <c:v>United States 
101,600 TBtu</c:v>
                </c:pt>
                <c:pt idx="1">
                  <c:v>South Region 
43,650 TBtu</c:v>
                </c:pt>
                <c:pt idx="2">
                  <c:v>Mississippi 
1,239 TBtu</c:v>
                </c:pt>
              </c:strCache>
            </c:strRef>
          </c:cat>
          <c:val>
            <c:numRef>
              <c:f>('historical by sector'!$B$17,'historical by sector'!$C$17,'historical by sector'!$M$17)</c:f>
              <c:numCache>
                <c:formatCode>0.0%</c:formatCode>
                <c:ptCount val="3"/>
                <c:pt idx="0">
                  <c:v>0.286</c:v>
                </c:pt>
                <c:pt idx="1">
                  <c:v>0.269</c:v>
                </c:pt>
                <c:pt idx="2">
                  <c:v>0.303</c:v>
                </c:pt>
              </c:numCache>
            </c:numRef>
          </c:val>
        </c:ser>
        <c:dLbls>
          <c:showVal val="1"/>
        </c:dLbls>
        <c:gapWidth val="75"/>
        <c:overlap val="100"/>
        <c:axId val="533075880"/>
        <c:axId val="79259944"/>
      </c:barChart>
      <c:catAx>
        <c:axId val="533075880"/>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79259944"/>
        <c:crosses val="autoZero"/>
        <c:auto val="1"/>
        <c:lblAlgn val="ctr"/>
        <c:lblOffset val="100"/>
      </c:catAx>
      <c:valAx>
        <c:axId val="79259944"/>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3075880"/>
        <c:crosses val="autoZero"/>
        <c:crossBetween val="between"/>
      </c:valAx>
      <c:spPr>
        <a:ln>
          <a:solidFill>
            <a:sysClr val="window" lastClr="FFFFFF">
              <a:lumMod val="50000"/>
            </a:sysClr>
          </a:solidFill>
        </a:ln>
      </c:spPr>
    </c:plotArea>
    <c:legend>
      <c:legendPos val="b"/>
      <c:layout>
        <c:manualLayout>
          <c:xMode val="edge"/>
          <c:yMode val="edge"/>
          <c:x val="0.236909150560732"/>
          <c:y val="0.897862980195643"/>
          <c:w val="0.526181549749453"/>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522393835386"/>
          <c:y val="0.0348473937773403"/>
          <c:w val="0.747886970859412"/>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type'!$M$1)</c:f>
              <c:strCache>
                <c:ptCount val="3"/>
                <c:pt idx="0">
                  <c:v>United States 
101,600 TBtu</c:v>
                </c:pt>
                <c:pt idx="1">
                  <c:v>South Region 
43,650 TBtu</c:v>
                </c:pt>
                <c:pt idx="2">
                  <c:v>Mississippi 
1,239 TBtu</c:v>
                </c:pt>
              </c:strCache>
            </c:strRef>
          </c:cat>
          <c:val>
            <c:numRef>
              <c:f>('historical by fuel type'!$B$11,'historical by fuel type'!$C$11,'historical by fuel type'!$M$11)</c:f>
              <c:numCache>
                <c:formatCode>General</c:formatCode>
                <c:ptCount val="3"/>
                <c:pt idx="0">
                  <c:v>0.223907480314965</c:v>
                </c:pt>
                <c:pt idx="1">
                  <c:v>0.229862542955326</c:v>
                </c:pt>
                <c:pt idx="2">
                  <c:v>0.149173053650666</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type'!$M$1)</c:f>
              <c:strCache>
                <c:ptCount val="3"/>
                <c:pt idx="0">
                  <c:v>United States 
101,600 TBtu</c:v>
                </c:pt>
                <c:pt idx="1">
                  <c:v>South Region 
43,650 TBtu</c:v>
                </c:pt>
                <c:pt idx="2">
                  <c:v>Mississippi 
1,239 TBtu</c:v>
                </c:pt>
              </c:strCache>
            </c:strRef>
          </c:cat>
          <c:val>
            <c:numRef>
              <c:f>('historical by fuel type'!$B$12,'historical by fuel type'!$C$12,'historical by fuel type'!$M$12)</c:f>
              <c:numCache>
                <c:formatCode>General</c:formatCode>
                <c:ptCount val="3"/>
                <c:pt idx="0">
                  <c:v>0.23255905511811</c:v>
                </c:pt>
                <c:pt idx="1">
                  <c:v>0.225253150057275</c:v>
                </c:pt>
                <c:pt idx="2">
                  <c:v>0.302460669624861</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type'!$M$1)</c:f>
              <c:strCache>
                <c:ptCount val="3"/>
                <c:pt idx="0">
                  <c:v>United States 
101,600 TBtu</c:v>
                </c:pt>
                <c:pt idx="1">
                  <c:v>South Region 
43,650 TBtu</c:v>
                </c:pt>
                <c:pt idx="2">
                  <c:v>Mississippi 
1,239 TBtu</c:v>
                </c:pt>
              </c:strCache>
            </c:strRef>
          </c:cat>
          <c:val>
            <c:numRef>
              <c:f>('historical by fuel type'!$B$13,'historical by fuel type'!$C$13,'historical by fuel type'!$M$13)</c:f>
              <c:numCache>
                <c:formatCode>General</c:formatCode>
                <c:ptCount val="3"/>
                <c:pt idx="0">
                  <c:v>0.391466535433077</c:v>
                </c:pt>
                <c:pt idx="1">
                  <c:v>0.407225658648333</c:v>
                </c:pt>
                <c:pt idx="2">
                  <c:v>0.37991125453812</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type'!$M$1)</c:f>
              <c:strCache>
                <c:ptCount val="3"/>
                <c:pt idx="0">
                  <c:v>United States 
101,600 TBtu</c:v>
                </c:pt>
                <c:pt idx="1">
                  <c:v>South Region 
43,650 TBtu</c:v>
                </c:pt>
                <c:pt idx="2">
                  <c:v>Mississippi 
1,239 TBtu</c:v>
                </c:pt>
              </c:strCache>
            </c:strRef>
          </c:cat>
          <c:val>
            <c:numRef>
              <c:f>('historical by fuel type'!$B$14,'historical by fuel type'!$C$14,'historical by fuel type'!$M$14)</c:f>
              <c:numCache>
                <c:formatCode>General</c:formatCode>
                <c:ptCount val="3"/>
                <c:pt idx="0">
                  <c:v>0.083248031496063</c:v>
                </c:pt>
                <c:pt idx="1">
                  <c:v>0.0823184421534943</c:v>
                </c:pt>
                <c:pt idx="2">
                  <c:v>0.0792254941508674</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type'!$M$1)</c:f>
              <c:strCache>
                <c:ptCount val="3"/>
                <c:pt idx="0">
                  <c:v>United States 
101,600 TBtu</c:v>
                </c:pt>
                <c:pt idx="1">
                  <c:v>South Region 
43,650 TBtu</c:v>
                </c:pt>
                <c:pt idx="2">
                  <c:v>Mississippi 
1,239 TBtu</c:v>
                </c:pt>
              </c:strCache>
            </c:strRef>
          </c:cat>
          <c:val>
            <c:numRef>
              <c:f>('historical by fuel type'!$B$15,'historical by fuel type'!$C$15,'historical by fuel type'!$M$15)</c:f>
              <c:numCache>
                <c:formatCode>General</c:formatCode>
                <c:ptCount val="3"/>
                <c:pt idx="0">
                  <c:v>0.0670669291338595</c:v>
                </c:pt>
                <c:pt idx="1">
                  <c:v>0.0409873997709049</c:v>
                </c:pt>
                <c:pt idx="2">
                  <c:v>0.0520371117386043</c:v>
                </c:pt>
              </c:numCache>
            </c:numRef>
          </c:val>
        </c:ser>
        <c:ser>
          <c:idx val="5"/>
          <c:order val="5"/>
          <c:tx>
            <c:strRef>
              <c:f>'historical by fuel type'!$A$16</c:f>
              <c:strCache>
                <c:ptCount val="1"/>
                <c:pt idx="0">
                  <c:v>Other</c:v>
                </c:pt>
              </c:strCache>
            </c:strRef>
          </c:tx>
          <c:dLbls>
            <c:dLbl>
              <c:idx val="0"/>
              <c:layout>
                <c:manualLayout>
                  <c:x val="0.0264786271227614"/>
                  <c:y val="-0.0034972689633902"/>
                </c:manualLayout>
              </c:layout>
              <c:tx>
                <c:rich>
                  <a:bodyPr/>
                  <a:lstStyle/>
                  <a:p>
                    <a:r>
                      <a:rPr lang="en-US">
                        <a:solidFill>
                          <a:sysClr val="windowText" lastClr="000000"/>
                        </a:solidFill>
                      </a:rPr>
                      <a:t>0.2%</a:t>
                    </a:r>
                  </a:p>
                </c:rich>
              </c:tx>
              <c:showVal val="1"/>
            </c:dLbl>
            <c:dLbl>
              <c:idx val="1"/>
              <c:layout>
                <c:manualLayout>
                  <c:x val="0.0316594225157218"/>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438010593718739"/>
                  <c:y val="0.00349732598999987"/>
                </c:manualLayout>
              </c:layout>
              <c:tx>
                <c:rich>
                  <a:bodyPr/>
                  <a:lstStyle/>
                  <a:p>
                    <a:r>
                      <a:rPr lang="en-US">
                        <a:solidFill>
                          <a:sysClr val="windowText" lastClr="000000"/>
                        </a:solidFill>
                      </a:rPr>
                      <a:t>3.7%</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type'!$M$1)</c:f>
              <c:strCache>
                <c:ptCount val="3"/>
                <c:pt idx="0">
                  <c:v>United States 
101,600 TBtu</c:v>
                </c:pt>
                <c:pt idx="1">
                  <c:v>South Region 
43,650 TBtu</c:v>
                </c:pt>
                <c:pt idx="2">
                  <c:v>Mississippi 
1,239 TBtu</c:v>
                </c:pt>
              </c:strCache>
            </c:strRef>
          </c:cat>
          <c:val>
            <c:numRef>
              <c:f>('historical by fuel type'!$B$16,'historical by fuel type'!$C$16,'historical by fuel type'!$M$16)</c:f>
              <c:numCache>
                <c:formatCode>General</c:formatCode>
                <c:ptCount val="3"/>
                <c:pt idx="0">
                  <c:v>0.00175196850393701</c:v>
                </c:pt>
                <c:pt idx="1">
                  <c:v>0.0143528064146623</c:v>
                </c:pt>
                <c:pt idx="2">
                  <c:v>0.037192416296894</c:v>
                </c:pt>
              </c:numCache>
            </c:numRef>
          </c:val>
        </c:ser>
        <c:dLbls>
          <c:showVal val="1"/>
        </c:dLbls>
        <c:gapWidth val="95"/>
        <c:overlap val="100"/>
        <c:axId val="551210440"/>
        <c:axId val="550867192"/>
      </c:barChart>
      <c:catAx>
        <c:axId val="551210440"/>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50867192"/>
        <c:crosses val="autoZero"/>
        <c:lblAlgn val="ctr"/>
        <c:lblOffset val="100"/>
      </c:catAx>
      <c:valAx>
        <c:axId val="550867192"/>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551210440"/>
        <c:crosses val="autoZero"/>
        <c:crossBetween val="between"/>
      </c:valAx>
      <c:spPr>
        <a:ln>
          <a:solidFill>
            <a:schemeClr val="accent1"/>
          </a:solidFill>
        </a:ln>
      </c:spPr>
    </c:plotArea>
    <c:legend>
      <c:legendPos val="t"/>
      <c:layout>
        <c:manualLayout>
          <c:xMode val="edge"/>
          <c:yMode val="edge"/>
          <c:x val="0.104142131967427"/>
          <c:y val="0.902295392554685"/>
          <c:w val="0.861434315902816"/>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2457542071947"/>
          <c:y val="0.0508474576271188"/>
          <c:w val="0.811563223714683"/>
          <c:h val="0.771122454520778"/>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Potential'!$F$103:$Z$103</c:f>
              <c:numCache>
                <c:formatCode>General</c:formatCode>
                <c:ptCount val="21"/>
                <c:pt idx="0">
                  <c:v>1135.303420821892</c:v>
                </c:pt>
                <c:pt idx="1">
                  <c:v>1169.130687339161</c:v>
                </c:pt>
                <c:pt idx="2">
                  <c:v>1184.210168437171</c:v>
                </c:pt>
                <c:pt idx="3">
                  <c:v>1160.46066350924</c:v>
                </c:pt>
                <c:pt idx="4">
                  <c:v>1175.305986224934</c:v>
                </c:pt>
                <c:pt idx="5">
                  <c:v>1160.459219856848</c:v>
                </c:pt>
                <c:pt idx="6">
                  <c:v>1190.906564151992</c:v>
                </c:pt>
                <c:pt idx="7">
                  <c:v>1167.905972865194</c:v>
                </c:pt>
                <c:pt idx="8">
                  <c:v>1189.072832449018</c:v>
                </c:pt>
                <c:pt idx="9">
                  <c:v>1192.426334051348</c:v>
                </c:pt>
                <c:pt idx="10">
                  <c:v>1181.9616019103</c:v>
                </c:pt>
                <c:pt idx="11">
                  <c:v>1139.380114586744</c:v>
                </c:pt>
                <c:pt idx="12">
                  <c:v>1147.343809991863</c:v>
                </c:pt>
                <c:pt idx="13">
                  <c:v>1155.161762492175</c:v>
                </c:pt>
                <c:pt idx="14">
                  <c:v>1161.595472278738</c:v>
                </c:pt>
                <c:pt idx="15">
                  <c:v>1159.406540422863</c:v>
                </c:pt>
                <c:pt idx="16">
                  <c:v>1168.818155604131</c:v>
                </c:pt>
                <c:pt idx="17">
                  <c:v>1171.752713625927</c:v>
                </c:pt>
                <c:pt idx="18">
                  <c:v>1177.293274797953</c:v>
                </c:pt>
                <c:pt idx="19">
                  <c:v>1183.324413252924</c:v>
                </c:pt>
                <c:pt idx="20">
                  <c:v>1185.830262984295</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Potential'!$F$107:$Z$107</c:f>
              <c:numCache>
                <c:formatCode>General</c:formatCode>
                <c:ptCount val="21"/>
                <c:pt idx="0">
                  <c:v>1133.780235977031</c:v>
                </c:pt>
                <c:pt idx="1">
                  <c:v>1166.873897234705</c:v>
                </c:pt>
                <c:pt idx="2">
                  <c:v>1180.979966755946</c:v>
                </c:pt>
                <c:pt idx="3">
                  <c:v>1156.211237949581</c:v>
                </c:pt>
                <c:pt idx="4">
                  <c:v>1168.857366383925</c:v>
                </c:pt>
                <c:pt idx="5">
                  <c:v>1151.050007504726</c:v>
                </c:pt>
                <c:pt idx="6">
                  <c:v>1178.789372760535</c:v>
                </c:pt>
                <c:pt idx="7">
                  <c:v>1153.341618546345</c:v>
                </c:pt>
                <c:pt idx="8">
                  <c:v>1172.265363796338</c:v>
                </c:pt>
                <c:pt idx="9">
                  <c:v>1173.534151401417</c:v>
                </c:pt>
                <c:pt idx="10">
                  <c:v>1161.00379864421</c:v>
                </c:pt>
                <c:pt idx="11">
                  <c:v>1116.390650441573</c:v>
                </c:pt>
                <c:pt idx="12">
                  <c:v>1122.203396974191</c:v>
                </c:pt>
                <c:pt idx="13">
                  <c:v>1128.329681135151</c:v>
                </c:pt>
                <c:pt idx="14">
                  <c:v>1133.340579157545</c:v>
                </c:pt>
                <c:pt idx="15">
                  <c:v>1129.704964160465</c:v>
                </c:pt>
                <c:pt idx="16">
                  <c:v>1137.798612514845</c:v>
                </c:pt>
                <c:pt idx="17">
                  <c:v>1139.698314290171</c:v>
                </c:pt>
                <c:pt idx="18">
                  <c:v>1144.383672462533</c:v>
                </c:pt>
                <c:pt idx="19">
                  <c:v>1149.75319021224</c:v>
                </c:pt>
                <c:pt idx="20">
                  <c:v>1151.5426002883</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Potential'!$F$108:$Z$108</c:f>
              <c:numCache>
                <c:formatCode>General</c:formatCode>
                <c:ptCount val="21"/>
                <c:pt idx="0">
                  <c:v>1131.518866761386</c:v>
                </c:pt>
                <c:pt idx="1">
                  <c:v>1163.475731901292</c:v>
                </c:pt>
                <c:pt idx="2">
                  <c:v>1176.480461218078</c:v>
                </c:pt>
                <c:pt idx="3">
                  <c:v>1150.494745987168</c:v>
                </c:pt>
                <c:pt idx="4">
                  <c:v>1161.930075960371</c:v>
                </c:pt>
                <c:pt idx="5">
                  <c:v>1142.517598274306</c:v>
                </c:pt>
                <c:pt idx="6">
                  <c:v>1168.853648416213</c:v>
                </c:pt>
                <c:pt idx="7">
                  <c:v>1142.085618160841</c:v>
                </c:pt>
                <c:pt idx="8">
                  <c:v>1159.815174308135</c:v>
                </c:pt>
                <c:pt idx="9">
                  <c:v>1159.986223899022</c:v>
                </c:pt>
                <c:pt idx="10">
                  <c:v>1146.350796893146</c:v>
                </c:pt>
                <c:pt idx="11">
                  <c:v>1100.595154462446</c:v>
                </c:pt>
                <c:pt idx="12">
                  <c:v>1105.28878282588</c:v>
                </c:pt>
                <c:pt idx="13">
                  <c:v>1110.376695556256</c:v>
                </c:pt>
                <c:pt idx="14">
                  <c:v>1114.357105667166</c:v>
                </c:pt>
                <c:pt idx="15">
                  <c:v>1109.640817089584</c:v>
                </c:pt>
                <c:pt idx="16">
                  <c:v>1116.67564013888</c:v>
                </c:pt>
                <c:pt idx="17">
                  <c:v>1117.640059139436</c:v>
                </c:pt>
                <c:pt idx="18">
                  <c:v>1121.452601768956</c:v>
                </c:pt>
                <c:pt idx="19">
                  <c:v>1125.898294092251</c:v>
                </c:pt>
                <c:pt idx="20">
                  <c:v>1126.758210276725</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Potential'!$F$109:$Z$109</c:f>
              <c:numCache>
                <c:formatCode>General</c:formatCode>
                <c:ptCount val="21"/>
                <c:pt idx="0">
                  <c:v>1117.050138172695</c:v>
                </c:pt>
                <c:pt idx="1">
                  <c:v>1143.010776349616</c:v>
                </c:pt>
                <c:pt idx="2">
                  <c:v>1151.880469036367</c:v>
                </c:pt>
                <c:pt idx="3">
                  <c:v>1122.267802061583</c:v>
                </c:pt>
                <c:pt idx="4">
                  <c:v>1127.225003455375</c:v>
                </c:pt>
                <c:pt idx="5">
                  <c:v>1101.179570733626</c:v>
                </c:pt>
                <c:pt idx="6">
                  <c:v>1122.067119046122</c:v>
                </c:pt>
                <c:pt idx="7">
                  <c:v>1090.695021868486</c:v>
                </c:pt>
                <c:pt idx="8">
                  <c:v>1101.663584583672</c:v>
                </c:pt>
                <c:pt idx="9">
                  <c:v>1097.250043226773</c:v>
                </c:pt>
                <c:pt idx="10">
                  <c:v>1078.042128040623</c:v>
                </c:pt>
                <c:pt idx="11">
                  <c:v>1025.89888387681</c:v>
                </c:pt>
                <c:pt idx="12">
                  <c:v>1027.024697363151</c:v>
                </c:pt>
                <c:pt idx="13">
                  <c:v>1029.205190095647</c:v>
                </c:pt>
                <c:pt idx="14">
                  <c:v>1029.128460770163</c:v>
                </c:pt>
                <c:pt idx="15">
                  <c:v>1018.067930629848</c:v>
                </c:pt>
                <c:pt idx="16">
                  <c:v>1017.304449523648</c:v>
                </c:pt>
                <c:pt idx="17">
                  <c:v>1011.797353253438</c:v>
                </c:pt>
                <c:pt idx="18">
                  <c:v>1013.539914617969</c:v>
                </c:pt>
                <c:pt idx="19">
                  <c:v>1009.267368917495</c:v>
                </c:pt>
                <c:pt idx="20">
                  <c:v>1003.538779664511</c:v>
                </c:pt>
              </c:numCache>
            </c:numRef>
          </c:val>
        </c:ser>
        <c:marker val="1"/>
        <c:axId val="533440280"/>
        <c:axId val="79216616"/>
      </c:lineChart>
      <c:catAx>
        <c:axId val="533440280"/>
        <c:scaling>
          <c:orientation val="minMax"/>
        </c:scaling>
        <c:axPos val="b"/>
        <c:numFmt formatCode="General" sourceLinked="1"/>
        <c:tickLblPos val="nextTo"/>
        <c:crossAx val="79216616"/>
        <c:crosses val="autoZero"/>
        <c:auto val="1"/>
        <c:lblAlgn val="ctr"/>
        <c:lblOffset val="10"/>
        <c:tickLblSkip val="5"/>
      </c:catAx>
      <c:valAx>
        <c:axId val="79216616"/>
        <c:scaling>
          <c:orientation val="minMax"/>
          <c:max val="1200.0"/>
          <c:min val="1000.0"/>
        </c:scaling>
        <c:axPos val="l"/>
        <c:majorGridlines/>
        <c:title>
          <c:tx>
            <c:rich>
              <a:bodyPr rot="-5400000" vert="horz"/>
              <a:lstStyle/>
              <a:p>
                <a:pPr>
                  <a:defRPr/>
                </a:pPr>
                <a:r>
                  <a:rPr lang="en-US"/>
                  <a:t>Total</a:t>
                </a:r>
                <a:r>
                  <a:rPr lang="en-US" baseline="0"/>
                  <a:t> Energy Consumption</a:t>
                </a:r>
              </a:p>
              <a:p>
                <a:pPr>
                  <a:defRPr/>
                </a:pPr>
                <a:r>
                  <a:rPr lang="en-US" baseline="0"/>
                  <a:t>All Sectors (TBtu)</a:t>
                </a:r>
                <a:endParaRPr lang="en-US"/>
              </a:p>
            </c:rich>
          </c:tx>
          <c:layout>
            <c:manualLayout>
              <c:xMode val="edge"/>
              <c:yMode val="edge"/>
              <c:x val="0.00161648911533118"/>
              <c:y val="0.15320784120735"/>
            </c:manualLayout>
          </c:layout>
        </c:title>
        <c:numFmt formatCode="#,##0" sourceLinked="0"/>
        <c:majorTickMark val="none"/>
        <c:tickLblPos val="nextTo"/>
        <c:spPr>
          <a:ln w="9525">
            <a:noFill/>
          </a:ln>
        </c:spPr>
        <c:crossAx val="533440280"/>
        <c:crosses val="autoZero"/>
        <c:crossBetween val="between"/>
        <c:majorUnit val="50.0"/>
      </c:valAx>
    </c:plotArea>
    <c:legend>
      <c:legendPos val="b"/>
      <c:layout>
        <c:manualLayout>
          <c:xMode val="edge"/>
          <c:yMode val="edge"/>
          <c:x val="0.0688088621275282"/>
          <c:y val="0.922003801248984"/>
          <c:w val="0.862382275744938"/>
          <c:h val="0.0779961987510188"/>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3"/>
          <c:h val="0.67990889207561"/>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5'!$E$48,'Figure 5'!$F$48,'Figure 5'!$E$50,'Figure 5'!$F$50,'Figure 5'!$E$52,'Figure 5'!$F$52)</c:f>
              <c:numCache>
                <c:formatCode>General</c:formatCode>
                <c:ptCount val="6"/>
                <c:pt idx="0">
                  <c:v>113.8957098450097</c:v>
                </c:pt>
                <c:pt idx="1">
                  <c:v>116.5896542590517</c:v>
                </c:pt>
                <c:pt idx="2">
                  <c:v>389.2919996148053</c:v>
                </c:pt>
                <c:pt idx="3">
                  <c:v>324.0087482472459</c:v>
                </c:pt>
                <c:pt idx="4">
                  <c:v>235.4510467767661</c:v>
                </c:pt>
                <c:pt idx="5">
                  <c:v>240.798996706681</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5'!$E$49,'Figure 5'!$F$49,'Figure 5'!$E$51,'Figure 5'!$F$51,'Figure 5'!$E$53,'Figure 5'!$F$53)</c:f>
              <c:numCache>
                <c:formatCode>General</c:formatCode>
                <c:ptCount val="6"/>
                <c:pt idx="0">
                  <c:v>14.65300175106235</c:v>
                </c:pt>
                <c:pt idx="1">
                  <c:v>24.78439001157609</c:v>
                </c:pt>
                <c:pt idx="2">
                  <c:v>84.08731040099746</c:v>
                </c:pt>
                <c:pt idx="3">
                  <c:v>145.6939637081084</c:v>
                </c:pt>
                <c:pt idx="4">
                  <c:v>20.95780326608337</c:v>
                </c:pt>
                <c:pt idx="5">
                  <c:v>34.2876626959924</c:v>
                </c:pt>
              </c:numCache>
            </c:numRef>
          </c:val>
        </c:ser>
        <c:gapWidth val="60"/>
        <c:overlap val="100"/>
        <c:axId val="619120728"/>
        <c:axId val="551134168"/>
      </c:barChart>
      <c:catAx>
        <c:axId val="619120728"/>
        <c:scaling>
          <c:orientation val="minMax"/>
        </c:scaling>
        <c:axPos val="b"/>
        <c:numFmt formatCode="General" sourceLinked="1"/>
        <c:majorTickMark val="none"/>
        <c:tickLblPos val="nextTo"/>
        <c:crossAx val="551134168"/>
        <c:crosses val="autoZero"/>
        <c:auto val="1"/>
        <c:lblAlgn val="ctr"/>
        <c:lblOffset val="10"/>
      </c:catAx>
      <c:valAx>
        <c:axId val="551134168"/>
        <c:scaling>
          <c:orientation val="minMax"/>
        </c:scaling>
        <c:axPos val="l"/>
        <c:majorGridlines/>
        <c:title>
          <c:tx>
            <c:rich>
              <a:bodyPr rot="-5400000" vert="horz"/>
              <a:lstStyle/>
              <a:p>
                <a:pPr>
                  <a:defRPr/>
                </a:pPr>
                <a:r>
                  <a:rPr lang="en-US"/>
                  <a:t>Consumption</a:t>
                </a:r>
                <a:r>
                  <a:rPr lang="en-US" baseline="0"/>
                  <a:t> (TBtu)</a:t>
                </a:r>
                <a:endParaRPr lang="en-US"/>
              </a:p>
            </c:rich>
          </c:tx>
        </c:title>
        <c:numFmt formatCode="General" sourceLinked="1"/>
        <c:majorTickMark val="none"/>
        <c:tickLblPos val="nextTo"/>
        <c:spPr>
          <a:ln w="9525">
            <a:noFill/>
          </a:ln>
        </c:spPr>
        <c:crossAx val="619120728"/>
        <c:crosses val="autoZero"/>
        <c:crossBetween val="between"/>
      </c:valAx>
    </c:plotArea>
    <c:legend>
      <c:legendPos val="b"/>
      <c:layout>
        <c:manualLayout>
          <c:xMode val="edge"/>
          <c:yMode val="edge"/>
          <c:x val="0.0937132683589377"/>
          <c:y val="0.897186828919112"/>
          <c:w val="0.812573279738634"/>
          <c:h val="0.102813171080888"/>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34474648830055"/>
          <c:y val="0.0509259259259259"/>
          <c:w val="0.699560020329797"/>
          <c:h val="0.713433581219012"/>
        </c:manualLayout>
      </c:layout>
      <c:lineChart>
        <c:grouping val="standard"/>
        <c:ser>
          <c:idx val="0"/>
          <c:order val="0"/>
          <c:tx>
            <c:strRef>
              <c:f>'ESC STATES - Savings'!$C$477</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Savings'!$G$477:$AA$477</c:f>
              <c:numCache>
                <c:formatCode>General</c:formatCode>
                <c:ptCount val="21"/>
                <c:pt idx="0">
                  <c:v>247.549562082633</c:v>
                </c:pt>
                <c:pt idx="1">
                  <c:v>246.0939394135716</c:v>
                </c:pt>
                <c:pt idx="2">
                  <c:v>247.2240035155695</c:v>
                </c:pt>
                <c:pt idx="3">
                  <c:v>245.6211789270211</c:v>
                </c:pt>
                <c:pt idx="4">
                  <c:v>246.5011952231259</c:v>
                </c:pt>
                <c:pt idx="5">
                  <c:v>247.9211023254611</c:v>
                </c:pt>
                <c:pt idx="6">
                  <c:v>250.0684246171328</c:v>
                </c:pt>
                <c:pt idx="7">
                  <c:v>251.0225526932753</c:v>
                </c:pt>
                <c:pt idx="8">
                  <c:v>252.5855389286373</c:v>
                </c:pt>
                <c:pt idx="9">
                  <c:v>254.3976002049387</c:v>
                </c:pt>
                <c:pt idx="10">
                  <c:v>256.4088500428472</c:v>
                </c:pt>
                <c:pt idx="11">
                  <c:v>257.5285982476385</c:v>
                </c:pt>
                <c:pt idx="12">
                  <c:v>259.759144959909</c:v>
                </c:pt>
                <c:pt idx="13">
                  <c:v>262.1849559212687</c:v>
                </c:pt>
                <c:pt idx="14">
                  <c:v>265.1389579883476</c:v>
                </c:pt>
                <c:pt idx="15">
                  <c:v>267.0055863961063</c:v>
                </c:pt>
                <c:pt idx="16">
                  <c:v>269.2197184734165</c:v>
                </c:pt>
                <c:pt idx="17">
                  <c:v>271.1305572620823</c:v>
                </c:pt>
                <c:pt idx="18">
                  <c:v>273.1693597403273</c:v>
                </c:pt>
                <c:pt idx="19">
                  <c:v>273.7573925682482</c:v>
                </c:pt>
                <c:pt idx="20">
                  <c:v>275.0866594026679</c:v>
                </c:pt>
              </c:numCache>
            </c:numRef>
          </c:val>
        </c:ser>
        <c:ser>
          <c:idx val="1"/>
          <c:order val="1"/>
          <c:tx>
            <c:strRef>
              <c:f>'ESC STATES - Savings'!$C$478</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Savings'!$G$478:$AA$478</c:f>
              <c:numCache>
                <c:formatCode>General</c:formatCode>
                <c:ptCount val="21"/>
                <c:pt idx="0">
                  <c:v>246.02637723776</c:v>
                </c:pt>
                <c:pt idx="1">
                  <c:v>243.837149309117</c:v>
                </c:pt>
                <c:pt idx="2">
                  <c:v>243.9938018343435</c:v>
                </c:pt>
                <c:pt idx="3">
                  <c:v>241.3717533673708</c:v>
                </c:pt>
                <c:pt idx="4">
                  <c:v>240.0525753821192</c:v>
                </c:pt>
                <c:pt idx="5">
                  <c:v>238.5118899733366</c:v>
                </c:pt>
                <c:pt idx="6">
                  <c:v>237.9512332256875</c:v>
                </c:pt>
                <c:pt idx="7">
                  <c:v>236.4581983744418</c:v>
                </c:pt>
                <c:pt idx="8">
                  <c:v>235.7780702759548</c:v>
                </c:pt>
                <c:pt idx="9">
                  <c:v>235.50541755501</c:v>
                </c:pt>
                <c:pt idx="10">
                  <c:v>235.451046776766</c:v>
                </c:pt>
                <c:pt idx="11">
                  <c:v>234.5391341024734</c:v>
                </c:pt>
                <c:pt idx="12">
                  <c:v>234.6187319422376</c:v>
                </c:pt>
                <c:pt idx="13">
                  <c:v>235.3528745642417</c:v>
                </c:pt>
                <c:pt idx="14">
                  <c:v>236.8840648671562</c:v>
                </c:pt>
                <c:pt idx="15">
                  <c:v>237.3040101337082</c:v>
                </c:pt>
                <c:pt idx="16">
                  <c:v>238.2001753841363</c:v>
                </c:pt>
                <c:pt idx="17">
                  <c:v>239.0761579263401</c:v>
                </c:pt>
                <c:pt idx="18">
                  <c:v>240.2597574049053</c:v>
                </c:pt>
                <c:pt idx="19">
                  <c:v>240.1861695275506</c:v>
                </c:pt>
                <c:pt idx="20">
                  <c:v>240.798996706681</c:v>
                </c:pt>
              </c:numCache>
            </c:numRef>
          </c:val>
        </c:ser>
        <c:marker val="1"/>
        <c:axId val="551032936"/>
        <c:axId val="619219080"/>
      </c:lineChart>
      <c:catAx>
        <c:axId val="5510329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19219080"/>
        <c:crosses val="autoZero"/>
        <c:auto val="1"/>
        <c:lblAlgn val="ctr"/>
        <c:lblOffset val="100"/>
        <c:tickLblSkip val="5"/>
        <c:tickMarkSkip val="5"/>
      </c:catAx>
      <c:valAx>
        <c:axId val="619219080"/>
        <c:scaling>
          <c:orientation val="minMax"/>
          <c:max val="350.0"/>
          <c:min val="15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1032936"/>
        <c:crosses val="autoZero"/>
        <c:crossBetween val="between"/>
        <c:majorUnit val="50.0"/>
      </c:valAx>
    </c:plotArea>
    <c:legend>
      <c:legendPos val="b"/>
      <c:layout>
        <c:manualLayout>
          <c:xMode val="edge"/>
          <c:yMode val="edge"/>
          <c:x val="0.000108505463716063"/>
          <c:y val="0.859128025663466"/>
          <c:w val="0.970193282846118"/>
          <c:h val="0.113094196558763"/>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3700711847828"/>
          <c:y val="0.0552295287027499"/>
          <c:w val="0.739722949132436"/>
          <c:h val="0.716651564533558"/>
        </c:manualLayout>
      </c:layout>
      <c:barChart>
        <c:barDir val="col"/>
        <c:grouping val="stacked"/>
        <c:ser>
          <c:idx val="0"/>
          <c:order val="0"/>
          <c:tx>
            <c:strRef>
              <c:f>'ESC STATES - Savings'!$D$323</c:f>
              <c:strCache>
                <c:ptCount val="1"/>
                <c:pt idx="0">
                  <c:v>Electricity</c:v>
                </c:pt>
              </c:strCache>
            </c:strRef>
          </c:tx>
          <c:cat>
            <c:numRef>
              <c:f>('ESC STATES - Savings'!$Q$4,'ESC STATES - Savings'!$AA$4)</c:f>
              <c:numCache>
                <c:formatCode>General</c:formatCode>
                <c:ptCount val="2"/>
                <c:pt idx="0">
                  <c:v>2020.0</c:v>
                </c:pt>
                <c:pt idx="1">
                  <c:v>2030.0</c:v>
                </c:pt>
              </c:numCache>
            </c:numRef>
          </c:cat>
          <c:val>
            <c:numRef>
              <c:f>('ESC STATES - Savings'!$R$323,'ESC STATES - Savings'!$AB$323)</c:f>
              <c:numCache>
                <c:formatCode>General</c:formatCode>
                <c:ptCount val="2"/>
                <c:pt idx="0">
                  <c:v>16.66057641324263</c:v>
                </c:pt>
                <c:pt idx="1">
                  <c:v>27.70267465471428</c:v>
                </c:pt>
              </c:numCache>
            </c:numRef>
          </c:val>
        </c:ser>
        <c:ser>
          <c:idx val="2"/>
          <c:order val="1"/>
          <c:tx>
            <c:strRef>
              <c:f>'ESC STATES - Savings'!$D$326</c:f>
              <c:strCache>
                <c:ptCount val="1"/>
                <c:pt idx="0">
                  <c:v>Natural Gas</c:v>
                </c:pt>
              </c:strCache>
            </c:strRef>
          </c:tx>
          <c:cat>
            <c:numRef>
              <c:f>('ESC STATES - Savings'!$Q$4,'ESC STATES - Savings'!$AA$4)</c:f>
              <c:numCache>
                <c:formatCode>General</c:formatCode>
                <c:ptCount val="2"/>
                <c:pt idx="0">
                  <c:v>2020.0</c:v>
                </c:pt>
                <c:pt idx="1">
                  <c:v>2030.0</c:v>
                </c:pt>
              </c:numCache>
            </c:numRef>
          </c:cat>
          <c:val>
            <c:numRef>
              <c:f>('ESC STATES - Savings'!$Q$326,'ESC STATES - Savings'!$AA$326)</c:f>
              <c:numCache>
                <c:formatCode>General</c:formatCode>
                <c:ptCount val="2"/>
                <c:pt idx="0">
                  <c:v>4.634853888247806</c:v>
                </c:pt>
                <c:pt idx="1">
                  <c:v>7.772783935373202</c:v>
                </c:pt>
              </c:numCache>
            </c:numRef>
          </c:val>
        </c:ser>
        <c:ser>
          <c:idx val="3"/>
          <c:order val="2"/>
          <c:tx>
            <c:strRef>
              <c:f>'ESC STATES - Savings'!$D$327</c:f>
              <c:strCache>
                <c:ptCount val="1"/>
                <c:pt idx="0">
                  <c:v>Other</c:v>
                </c:pt>
              </c:strCache>
            </c:strRef>
          </c:tx>
          <c:spPr>
            <a:solidFill>
              <a:srgbClr val="C0504D"/>
            </a:solidFill>
          </c:spPr>
          <c:cat>
            <c:numRef>
              <c:f>('ESC STATES - Savings'!$Q$4,'ESC STATES - Savings'!$AA$4)</c:f>
              <c:numCache>
                <c:formatCode>General</c:formatCode>
                <c:ptCount val="2"/>
                <c:pt idx="0">
                  <c:v>2020.0</c:v>
                </c:pt>
                <c:pt idx="1">
                  <c:v>2030.0</c:v>
                </c:pt>
              </c:numCache>
            </c:numRef>
          </c:cat>
          <c:val>
            <c:numRef>
              <c:f>('ESC STATES - Savings'!$Q$328,'ESC STATES - Savings'!$AA$328)</c:f>
              <c:numCache>
                <c:formatCode>General</c:formatCode>
                <c:ptCount val="2"/>
                <c:pt idx="0">
                  <c:v>-0.337627035407073</c:v>
                </c:pt>
                <c:pt idx="1">
                  <c:v>-1.187795894094664</c:v>
                </c:pt>
              </c:numCache>
            </c:numRef>
          </c:val>
        </c:ser>
        <c:gapWidth val="75"/>
        <c:overlap val="100"/>
        <c:axId val="551373128"/>
        <c:axId val="79304248"/>
      </c:barChart>
      <c:catAx>
        <c:axId val="55137312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79304248"/>
        <c:crosses val="autoZero"/>
        <c:auto val="1"/>
        <c:lblAlgn val="ctr"/>
        <c:lblOffset val="100"/>
      </c:catAx>
      <c:valAx>
        <c:axId val="79304248"/>
        <c:scaling>
          <c:orientation val="minMax"/>
          <c:max val="12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1373128"/>
        <c:crosses val="autoZero"/>
        <c:crossBetween val="between"/>
        <c:majorUnit val="25.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64201701199"/>
          <c:y val="0.0509259259259259"/>
          <c:w val="0.710698462235671"/>
          <c:h val="0.718063210848644"/>
        </c:manualLayout>
      </c:layout>
      <c:lineChart>
        <c:grouping val="standard"/>
        <c:ser>
          <c:idx val="0"/>
          <c:order val="0"/>
          <c:tx>
            <c:strRef>
              <c:f>'ESC STATES - Savings'!$C$471</c:f>
              <c:strCache>
                <c:ptCount val="1"/>
                <c:pt idx="0">
                  <c:v>Baseline Forecast</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Savings'!$G$471:$AA$471</c:f>
              <c:numCache>
                <c:formatCode>General</c:formatCode>
                <c:ptCount val="21"/>
                <c:pt idx="0">
                  <c:v>117.430607699559</c:v>
                </c:pt>
                <c:pt idx="1">
                  <c:v>118.0323691065264</c:v>
                </c:pt>
                <c:pt idx="2">
                  <c:v>118.7871971963692</c:v>
                </c:pt>
                <c:pt idx="3">
                  <c:v>119.8391151932538</c:v>
                </c:pt>
                <c:pt idx="4">
                  <c:v>121.1551147633137</c:v>
                </c:pt>
                <c:pt idx="5">
                  <c:v>122.6134494923887</c:v>
                </c:pt>
                <c:pt idx="6">
                  <c:v>124.0052049001164</c:v>
                </c:pt>
                <c:pt idx="7">
                  <c:v>125.2272207068513</c:v>
                </c:pt>
                <c:pt idx="8">
                  <c:v>126.3672752758237</c:v>
                </c:pt>
                <c:pt idx="9">
                  <c:v>127.4875343753113</c:v>
                </c:pt>
                <c:pt idx="10">
                  <c:v>128.5487115960707</c:v>
                </c:pt>
                <c:pt idx="11">
                  <c:v>129.7419534147948</c:v>
                </c:pt>
                <c:pt idx="12">
                  <c:v>131.064946818266</c:v>
                </c:pt>
                <c:pt idx="13">
                  <c:v>132.5024633296954</c:v>
                </c:pt>
                <c:pt idx="14">
                  <c:v>133.8921058796115</c:v>
                </c:pt>
                <c:pt idx="15">
                  <c:v>135.3945077306906</c:v>
                </c:pt>
                <c:pt idx="16">
                  <c:v>136.753417813086</c:v>
                </c:pt>
                <c:pt idx="17">
                  <c:v>138.0252920107564</c:v>
                </c:pt>
                <c:pt idx="18">
                  <c:v>139.1590069450286</c:v>
                </c:pt>
                <c:pt idx="19">
                  <c:v>140.2372403922928</c:v>
                </c:pt>
                <c:pt idx="20">
                  <c:v>141.3740442706278</c:v>
                </c:pt>
              </c:numCache>
            </c:numRef>
          </c:val>
        </c:ser>
        <c:ser>
          <c:idx val="1"/>
          <c:order val="1"/>
          <c:tx>
            <c:strRef>
              <c:f>'ESC STATES - Savings'!$C$472</c:f>
              <c:strCache>
                <c:ptCount val="1"/>
                <c:pt idx="0">
                  <c:v>Energy Efficiency Scenario</c:v>
                </c:pt>
              </c:strCache>
            </c:strRef>
          </c:tx>
          <c:marker>
            <c:symbol val="none"/>
          </c:marker>
          <c:cat>
            <c:numRef>
              <c:f>'ESC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'ESC STATES - Savings'!$G$472:$AA$472</c:f>
              <c:numCache>
                <c:formatCode>General</c:formatCode>
                <c:ptCount val="21"/>
                <c:pt idx="0">
                  <c:v>115.1692384839128</c:v>
                </c:pt>
                <c:pt idx="1">
                  <c:v>114.6342037730976</c:v>
                </c:pt>
                <c:pt idx="2">
                  <c:v>114.2876916585014</c:v>
                </c:pt>
                <c:pt idx="3">
                  <c:v>114.1226232308413</c:v>
                </c:pt>
                <c:pt idx="4">
                  <c:v>114.2278243397554</c:v>
                </c:pt>
                <c:pt idx="5">
                  <c:v>114.0810402619694</c:v>
                </c:pt>
                <c:pt idx="6">
                  <c:v>114.0694805557938</c:v>
                </c:pt>
                <c:pt idx="7">
                  <c:v>113.9712203213468</c:v>
                </c:pt>
                <c:pt idx="8">
                  <c:v>113.9170857876213</c:v>
                </c:pt>
                <c:pt idx="9">
                  <c:v>113.9396068729154</c:v>
                </c:pt>
                <c:pt idx="10">
                  <c:v>113.8957098450097</c:v>
                </c:pt>
                <c:pt idx="11">
                  <c:v>113.9464574356661</c:v>
                </c:pt>
                <c:pt idx="12">
                  <c:v>114.1503326699522</c:v>
                </c:pt>
                <c:pt idx="13">
                  <c:v>114.5494777508021</c:v>
                </c:pt>
                <c:pt idx="14">
                  <c:v>114.9086323892317</c:v>
                </c:pt>
                <c:pt idx="15">
                  <c:v>115.3303606598099</c:v>
                </c:pt>
                <c:pt idx="16">
                  <c:v>115.6304454371143</c:v>
                </c:pt>
                <c:pt idx="17">
                  <c:v>115.9670368600109</c:v>
                </c:pt>
                <c:pt idx="18">
                  <c:v>116.2279362514508</c:v>
                </c:pt>
                <c:pt idx="19">
                  <c:v>116.3823442723014</c:v>
                </c:pt>
                <c:pt idx="20">
                  <c:v>116.5896542590517</c:v>
                </c:pt>
              </c:numCache>
            </c:numRef>
          </c:val>
        </c:ser>
        <c:marker val="1"/>
        <c:axId val="537979320"/>
        <c:axId val="533376856"/>
      </c:lineChart>
      <c:catAx>
        <c:axId val="53797932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33376856"/>
        <c:crosses val="autoZero"/>
        <c:auto val="1"/>
        <c:lblAlgn val="ctr"/>
        <c:lblOffset val="100"/>
        <c:tickLblSkip val="5"/>
        <c:tickMarkSkip val="5"/>
      </c:catAx>
      <c:valAx>
        <c:axId val="533376856"/>
        <c:scaling>
          <c:orientation val="minMax"/>
          <c:max val="250.0"/>
          <c:min val="5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7979320"/>
        <c:crosses val="autoZero"/>
        <c:crossBetween val="between"/>
        <c:majorUnit val="50.0"/>
      </c:valAx>
    </c:plotArea>
    <c:legend>
      <c:legendPos val="b"/>
      <c:layout>
        <c:manualLayout>
          <c:xMode val="edge"/>
          <c:yMode val="edge"/>
          <c:x val="0.000952908409384619"/>
          <c:y val="0.88725241943876"/>
          <c:w val="0.9613571023371"/>
          <c:h val="0.108464566929134"/>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94115384615385"/>
          <c:y val="0.0541205412054121"/>
          <c:w val="0.763576923076919"/>
          <c:h val="0.727261140327933"/>
        </c:manualLayout>
      </c:layout>
      <c:barChart>
        <c:barDir val="col"/>
        <c:grouping val="stacked"/>
        <c:ser>
          <c:idx val="0"/>
          <c:order val="0"/>
          <c:tx>
            <c:strRef>
              <c:f>'ESC STATES - Savings'!$D$240</c:f>
              <c:strCache>
                <c:ptCount val="1"/>
                <c:pt idx="0">
                  <c:v>Electricity</c:v>
                </c:pt>
              </c:strCache>
            </c:strRef>
          </c:tx>
          <c:cat>
            <c:numRef>
              <c:f>('SA STATES - Savings'!$Q$4,'SA STATES - Savings'!$AA$4)</c:f>
              <c:numCache>
                <c:formatCode>General</c:formatCode>
                <c:ptCount val="2"/>
                <c:pt idx="0">
                  <c:v>2020.0</c:v>
                </c:pt>
                <c:pt idx="1">
                  <c:v>2030.0</c:v>
                </c:pt>
              </c:numCache>
            </c:numRef>
          </c:cat>
          <c:val>
            <c:numRef>
              <c:f>('ESC STATES - Savings'!$R$240,'ESC STATES - Savings'!$AB$240)</c:f>
              <c:numCache>
                <c:formatCode>General</c:formatCode>
                <c:ptCount val="2"/>
                <c:pt idx="0">
                  <c:v>12.72950804527825</c:v>
                </c:pt>
                <c:pt idx="1">
                  <c:v>21.68493156413063</c:v>
                </c:pt>
              </c:numCache>
            </c:numRef>
          </c:val>
        </c:ser>
        <c:ser>
          <c:idx val="2"/>
          <c:order val="1"/>
          <c:tx>
            <c:strRef>
              <c:f>'ESC STATES - Savings'!$D$242</c:f>
              <c:strCache>
                <c:ptCount val="1"/>
                <c:pt idx="0">
                  <c:v>Natural Gas</c:v>
                </c:pt>
              </c:strCache>
            </c:strRef>
          </c:tx>
          <c:val>
            <c:numRef>
              <c:f>('ESC STATES - Savings'!$Q$242,'ESC STATES - Savings'!$AA$242)</c:f>
              <c:numCache>
                <c:formatCode>General</c:formatCode>
                <c:ptCount val="2"/>
                <c:pt idx="0">
                  <c:v>1.716578287997538</c:v>
                </c:pt>
                <c:pt idx="1">
                  <c:v>2.799768714793984</c:v>
                </c:pt>
              </c:numCache>
            </c:numRef>
          </c:val>
        </c:ser>
        <c:ser>
          <c:idx val="3"/>
          <c:order val="2"/>
          <c:tx>
            <c:strRef>
              <c:f>'ESC STATES - Savings'!$D$243</c:f>
              <c:strCache>
                <c:ptCount val="1"/>
                <c:pt idx="0">
                  <c:v>Others</c:v>
                </c:pt>
              </c:strCache>
            </c:strRef>
          </c:tx>
          <c:spPr>
            <a:solidFill>
              <a:srgbClr val="C0504D"/>
            </a:solidFill>
          </c:spPr>
          <c:val>
            <c:numRef>
              <c:f>('ESC STATES - Savings'!$Q$244,'ESC STATES - Savings'!$AA$244)</c:f>
              <c:numCache>
                <c:formatCode>General</c:formatCode>
                <c:ptCount val="2"/>
                <c:pt idx="0">
                  <c:v>0.206915417786539</c:v>
                </c:pt>
                <c:pt idx="1">
                  <c:v>0.299689732651518</c:v>
                </c:pt>
              </c:numCache>
            </c:numRef>
          </c:val>
        </c:ser>
        <c:gapWidth val="75"/>
        <c:overlap val="100"/>
        <c:axId val="533094936"/>
        <c:axId val="533703592"/>
      </c:barChart>
      <c:catAx>
        <c:axId val="53309493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3703592"/>
        <c:crosses val="autoZero"/>
        <c:auto val="1"/>
        <c:lblAlgn val="ctr"/>
        <c:lblOffset val="100"/>
      </c:catAx>
      <c:valAx>
        <c:axId val="533703592"/>
        <c:scaling>
          <c:orientation val="minMax"/>
          <c:max val="3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094936"/>
        <c:crosses val="autoZero"/>
        <c:crossBetween val="between"/>
        <c:majorUnit val="10.0"/>
      </c:valAx>
    </c:plotArea>
    <c:legend>
      <c:legendPos val="b"/>
      <c:layout>
        <c:manualLayout>
          <c:xMode val="edge"/>
          <c:yMode val="edge"/>
          <c:x val="0.154403910520359"/>
          <c:y val="0.893807992310824"/>
          <c:w val="0.715657010763568"/>
          <c:h val="0.10619200768918"/>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0.15074</cdr:x>
      <cdr:y>0</cdr:y>
    </cdr:from>
    <cdr:to>
      <cdr:x>1</cdr:x>
      <cdr:y>0.85771</cdr:y>
    </cdr:to>
    <cdr:pic>
      <cdr:nvPicPr>
        <cdr:cNvPr id="2" name="Picture 1" descr="Mississippi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81050" y="0"/>
          <a:ext cx="4400550" cy="209144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0.91278</cdr:x>
      <cdr:y>0.30765</cdr:y>
    </cdr:from>
    <cdr:to>
      <cdr:x>0.91331</cdr:x>
      <cdr:y>0.44185</cdr:y>
    </cdr:to>
    <cdr:sp macro="" textlink="">
      <cdr:nvSpPr>
        <cdr:cNvPr id="3" name="Straight Arrow Connector 2"/>
        <cdr:cNvSpPr/>
      </cdr:nvSpPr>
      <cdr:spPr>
        <a:xfrm xmlns:a="http://schemas.openxmlformats.org/drawingml/2006/main" rot="5400000">
          <a:off x="2742406" y="843941"/>
          <a:ext cx="1589" cy="36813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0.56891</cdr:x>
      <cdr:y>0.3899</cdr:y>
    </cdr:from>
    <cdr:to>
      <cdr:x>0.56943</cdr:x>
      <cdr:y>0.45483</cdr:y>
    </cdr:to>
    <cdr:sp macro="" textlink="">
      <cdr:nvSpPr>
        <cdr:cNvPr id="5" name="Straight Arrow Connector 4"/>
        <cdr:cNvSpPr/>
      </cdr:nvSpPr>
      <cdr:spPr>
        <a:xfrm xmlns:a="http://schemas.openxmlformats.org/drawingml/2006/main" rot="5400000">
          <a:off x="1709253" y="1069573"/>
          <a:ext cx="1589" cy="17813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0.48221</cdr:x>
      <cdr:y>0.28571</cdr:y>
    </cdr:from>
    <cdr:to>
      <cdr:x>0.65882</cdr:x>
      <cdr:y>0.4021</cdr:y>
    </cdr:to>
    <cdr:sp macro="" textlink="">
      <cdr:nvSpPr>
        <cdr:cNvPr id="6" name="TextBox 1"/>
        <cdr:cNvSpPr txBox="1"/>
      </cdr:nvSpPr>
      <cdr:spPr>
        <a:xfrm xmlns:a="http://schemas.openxmlformats.org/drawingml/2006/main">
          <a:off x="1448790" y="783771"/>
          <a:ext cx="530598"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8%</a:t>
          </a:r>
        </a:p>
      </cdr:txBody>
    </cdr:sp>
  </cdr:relSizeAnchor>
  <cdr:relSizeAnchor xmlns:cdr="http://schemas.openxmlformats.org/drawingml/2006/chartDrawing">
    <cdr:from>
      <cdr:x>0.79842</cdr:x>
      <cdr:y>0.22434</cdr:y>
    </cdr:from>
    <cdr:to>
      <cdr:x>0.99831</cdr:x>
      <cdr:y>0.34465</cdr:y>
    </cdr:to>
    <cdr:sp macro="" textlink="">
      <cdr:nvSpPr>
        <cdr:cNvPr id="7" name="TextBox 1"/>
        <cdr:cNvSpPr txBox="1"/>
      </cdr:nvSpPr>
      <cdr:spPr>
        <a:xfrm xmlns:a="http://schemas.openxmlformats.org/drawingml/2006/main">
          <a:off x="2398815" y="615409"/>
          <a:ext cx="600562"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12%</a:t>
          </a:r>
        </a:p>
      </cdr:txBody>
    </cdr:sp>
  </cdr:relSizeAnchor>
</c:userShapes>
</file>

<file path=word/drawings/drawing4.xml><?xml version="1.0" encoding="utf-8"?>
<c:userShapes xmlns:c="http://schemas.openxmlformats.org/drawingml/2006/chart">
  <cdr:relSizeAnchor xmlns:cdr="http://schemas.openxmlformats.org/drawingml/2006/chartDrawing">
    <cdr:from>
      <cdr:x>0.91578</cdr:x>
      <cdr:y>0.43087</cdr:y>
    </cdr:from>
    <cdr:to>
      <cdr:x>0.91629</cdr:x>
      <cdr:y>0.52809</cdr:y>
    </cdr:to>
    <cdr:sp macro="" textlink="">
      <cdr:nvSpPr>
        <cdr:cNvPr id="3" name="Straight Arrow Connector 2"/>
        <cdr:cNvSpPr/>
      </cdr:nvSpPr>
      <cdr:spPr>
        <a:xfrm xmlns:a="http://schemas.openxmlformats.org/drawingml/2006/main" rot="5400000">
          <a:off x="2849284" y="1105199"/>
          <a:ext cx="1589" cy="249382"/>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0.58371</cdr:x>
      <cdr:y>0.48179</cdr:y>
    </cdr:from>
    <cdr:to>
      <cdr:x>0.58422</cdr:x>
      <cdr:y>0.53735</cdr:y>
    </cdr:to>
    <cdr:sp macro="" textlink="">
      <cdr:nvSpPr>
        <cdr:cNvPr id="5" name="Straight Arrow Connector 4"/>
        <cdr:cNvSpPr/>
      </cdr:nvSpPr>
      <cdr:spPr>
        <a:xfrm xmlns:a="http://schemas.openxmlformats.org/drawingml/2006/main" rot="5400000">
          <a:off x="1816131" y="1235828"/>
          <a:ext cx="1588" cy="14250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0.50763</cdr:x>
      <cdr:y>0.32407</cdr:y>
    </cdr:from>
    <cdr:to>
      <cdr:x>0.68962</cdr:x>
      <cdr:y>0.44854</cdr:y>
    </cdr:to>
    <cdr:sp macro="" textlink="">
      <cdr:nvSpPr>
        <cdr:cNvPr id="6" name="TextBox 1"/>
        <cdr:cNvSpPr txBox="1"/>
      </cdr:nvSpPr>
      <cdr:spPr>
        <a:xfrm xmlns:a="http://schemas.openxmlformats.org/drawingml/2006/main">
          <a:off x="1579419" y="831273"/>
          <a:ext cx="566224"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11%</a:t>
          </a:r>
        </a:p>
      </cdr:txBody>
    </cdr:sp>
  </cdr:relSizeAnchor>
  <cdr:relSizeAnchor xmlns:cdr="http://schemas.openxmlformats.org/drawingml/2006/chartDrawing">
    <cdr:from>
      <cdr:x>0.81679</cdr:x>
      <cdr:y>0.31399</cdr:y>
    </cdr:from>
    <cdr:to>
      <cdr:x>1</cdr:x>
      <cdr:y>0.44266</cdr:y>
    </cdr:to>
    <cdr:sp macro="" textlink="">
      <cdr:nvSpPr>
        <cdr:cNvPr id="7" name="TextBox 1"/>
        <cdr:cNvSpPr txBox="1"/>
      </cdr:nvSpPr>
      <cdr:spPr>
        <a:xfrm xmlns:a="http://schemas.openxmlformats.org/drawingml/2006/main">
          <a:off x="2541319" y="805414"/>
          <a:ext cx="570016"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18%</a:t>
          </a:r>
        </a:p>
      </cdr:txBody>
    </cdr:sp>
  </cdr:relSizeAnchor>
</c:userShapes>
</file>

<file path=word/drawings/drawing5.xml><?xml version="1.0" encoding="utf-8"?>
<c:userShapes xmlns:c="http://schemas.openxmlformats.org/drawingml/2006/chart">
  <cdr:relSizeAnchor xmlns:cdr="http://schemas.openxmlformats.org/drawingml/2006/chartDrawing">
    <cdr:from>
      <cdr:x>0.91803</cdr:x>
      <cdr:y>0.20375</cdr:y>
    </cdr:from>
    <cdr:to>
      <cdr:x>0.91855</cdr:x>
      <cdr:y>0.64098</cdr:y>
    </cdr:to>
    <cdr:sp macro="" textlink="">
      <cdr:nvSpPr>
        <cdr:cNvPr id="3" name="Straight Arrow Connector 2"/>
        <cdr:cNvSpPr/>
      </cdr:nvSpPr>
      <cdr:spPr>
        <a:xfrm xmlns:a="http://schemas.openxmlformats.org/drawingml/2006/main" rot="5400000">
          <a:off x="2801783" y="558934"/>
          <a:ext cx="1589" cy="119940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0.58729</cdr:x>
      <cdr:y>0.20808</cdr:y>
    </cdr:from>
    <cdr:to>
      <cdr:x>0.58781</cdr:x>
      <cdr:y>0.44185</cdr:y>
    </cdr:to>
    <cdr:sp macro="" textlink="">
      <cdr:nvSpPr>
        <cdr:cNvPr id="5" name="Straight Arrow Connector 4"/>
        <cdr:cNvSpPr/>
      </cdr:nvSpPr>
      <cdr:spPr>
        <a:xfrm xmlns:a="http://schemas.openxmlformats.org/drawingml/2006/main" rot="5400000">
          <a:off x="1792380" y="570809"/>
          <a:ext cx="1589" cy="64126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0.49416</cdr:x>
      <cdr:y>0.07359</cdr:y>
    </cdr:from>
    <cdr:to>
      <cdr:x>0.67969</cdr:x>
      <cdr:y>0.18998</cdr:y>
    </cdr:to>
    <cdr:sp macro="" textlink="">
      <cdr:nvSpPr>
        <cdr:cNvPr id="8" name="TextBox 1"/>
        <cdr:cNvSpPr txBox="1"/>
      </cdr:nvSpPr>
      <cdr:spPr>
        <a:xfrm xmlns:a="http://schemas.openxmlformats.org/drawingml/2006/main">
          <a:off x="1508167" y="201880"/>
          <a:ext cx="566224"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18%</a:t>
          </a:r>
        </a:p>
      </cdr:txBody>
    </cdr:sp>
  </cdr:relSizeAnchor>
  <cdr:relSizeAnchor xmlns:cdr="http://schemas.openxmlformats.org/drawingml/2006/chartDrawing">
    <cdr:from>
      <cdr:x>0.82879</cdr:x>
      <cdr:y>0.07282</cdr:y>
    </cdr:from>
    <cdr:to>
      <cdr:x>1</cdr:x>
      <cdr:y>0.19314</cdr:y>
    </cdr:to>
    <cdr:sp macro="" textlink="">
      <cdr:nvSpPr>
        <cdr:cNvPr id="9" name="TextBox 1"/>
        <cdr:cNvSpPr txBox="1"/>
      </cdr:nvSpPr>
      <cdr:spPr>
        <a:xfrm xmlns:a="http://schemas.openxmlformats.org/drawingml/2006/main">
          <a:off x="2529444" y="199772"/>
          <a:ext cx="522514"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31 %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1C67-0D21-7D4E-ACC4-5DEDFBCA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13297</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2010-04-06T13:24:00Z</cp:lastPrinted>
  <dcterms:created xsi:type="dcterms:W3CDTF">2010-04-13T13:25:00Z</dcterms:created>
  <dcterms:modified xsi:type="dcterms:W3CDTF">2010-04-13T13:25:00Z</dcterms:modified>
</cp:coreProperties>
</file>