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00F57" w14:textId="07CF2FCD" w:rsidR="00550D05" w:rsidRPr="00F23E6D" w:rsidRDefault="00550D05" w:rsidP="00A72615">
      <w:pPr>
        <w:spacing w:line="276" w:lineRule="auto"/>
        <w:jc w:val="center"/>
        <w:rPr>
          <w:rFonts w:ascii="Times New Roman" w:hAnsi="Times New Roman" w:cs="Times New Roman"/>
          <w:b/>
        </w:rPr>
      </w:pPr>
      <w:r w:rsidRPr="00F23E6D">
        <w:rPr>
          <w:rFonts w:ascii="Times New Roman" w:hAnsi="Times New Roman" w:cs="Times New Roman"/>
          <w:b/>
        </w:rPr>
        <w:t>Modeling an Integrated High Efficiency Scenario using the</w:t>
      </w:r>
    </w:p>
    <w:p w14:paraId="450479B1" w14:textId="34F94E34" w:rsidR="008316E1" w:rsidRPr="00F23E6D" w:rsidRDefault="00550D05" w:rsidP="00A72615">
      <w:pPr>
        <w:spacing w:line="276" w:lineRule="auto"/>
        <w:jc w:val="center"/>
        <w:rPr>
          <w:rFonts w:ascii="Times New Roman" w:hAnsi="Times New Roman" w:cs="Times New Roman"/>
          <w:b/>
        </w:rPr>
      </w:pPr>
      <w:r w:rsidRPr="00F23E6D">
        <w:rPr>
          <w:rFonts w:ascii="Times New Roman" w:hAnsi="Times New Roman" w:cs="Times New Roman"/>
          <w:b/>
        </w:rPr>
        <w:t>2014 National Energy Modeling System</w:t>
      </w:r>
    </w:p>
    <w:p w14:paraId="59381668" w14:textId="77777777" w:rsidR="00550D05" w:rsidRPr="00F23E6D" w:rsidRDefault="00550D05" w:rsidP="00A72615">
      <w:pPr>
        <w:spacing w:line="276" w:lineRule="auto"/>
        <w:jc w:val="center"/>
        <w:rPr>
          <w:rFonts w:ascii="Times New Roman" w:hAnsi="Times New Roman" w:cs="Times New Roman"/>
          <w:b/>
        </w:rPr>
      </w:pPr>
    </w:p>
    <w:p w14:paraId="3CC6708A" w14:textId="77777777" w:rsidR="00B80DC2" w:rsidRDefault="00550D05" w:rsidP="00B80DC2">
      <w:pPr>
        <w:spacing w:line="276" w:lineRule="auto"/>
        <w:jc w:val="center"/>
        <w:rPr>
          <w:rFonts w:ascii="Times New Roman" w:hAnsi="Times New Roman" w:cs="Times New Roman"/>
        </w:rPr>
      </w:pPr>
      <w:r w:rsidRPr="00B80DC2">
        <w:rPr>
          <w:rFonts w:ascii="Times New Roman" w:hAnsi="Times New Roman" w:cs="Times New Roman"/>
        </w:rPr>
        <w:t>Marilyn A. Brown</w:t>
      </w:r>
      <w:r w:rsidR="00B80DC2">
        <w:rPr>
          <w:rFonts w:ascii="Times New Roman" w:hAnsi="Times New Roman" w:cs="Times New Roman"/>
        </w:rPr>
        <w:t xml:space="preserve">, </w:t>
      </w:r>
      <w:r w:rsidRPr="00B80DC2">
        <w:rPr>
          <w:rFonts w:ascii="Times New Roman" w:hAnsi="Times New Roman" w:cs="Times New Roman"/>
        </w:rPr>
        <w:t>Matt Cox</w:t>
      </w:r>
      <w:r w:rsidR="00B80DC2">
        <w:rPr>
          <w:rFonts w:ascii="Times New Roman" w:hAnsi="Times New Roman" w:cs="Times New Roman"/>
        </w:rPr>
        <w:t xml:space="preserve">, </w:t>
      </w:r>
      <w:r w:rsidRPr="00B80DC2">
        <w:rPr>
          <w:rFonts w:ascii="Times New Roman" w:hAnsi="Times New Roman" w:cs="Times New Roman"/>
        </w:rPr>
        <w:t xml:space="preserve">Jeff </w:t>
      </w:r>
      <w:proofErr w:type="spellStart"/>
      <w:r w:rsidRPr="00B80DC2">
        <w:rPr>
          <w:rFonts w:ascii="Times New Roman" w:hAnsi="Times New Roman" w:cs="Times New Roman"/>
        </w:rPr>
        <w:t>Hubbs</w:t>
      </w:r>
      <w:proofErr w:type="spellEnd"/>
      <w:r w:rsidR="00B80DC2">
        <w:rPr>
          <w:rFonts w:ascii="Times New Roman" w:hAnsi="Times New Roman" w:cs="Times New Roman"/>
        </w:rPr>
        <w:t xml:space="preserve">, </w:t>
      </w:r>
      <w:proofErr w:type="spellStart"/>
      <w:r w:rsidR="004735FA" w:rsidRPr="00B80DC2">
        <w:rPr>
          <w:rFonts w:ascii="Times New Roman" w:hAnsi="Times New Roman" w:cs="Times New Roman"/>
        </w:rPr>
        <w:t>Gyungwon</w:t>
      </w:r>
      <w:proofErr w:type="spellEnd"/>
      <w:r w:rsidR="004735FA" w:rsidRPr="00B80DC2">
        <w:rPr>
          <w:rFonts w:ascii="Times New Roman" w:hAnsi="Times New Roman" w:cs="Times New Roman"/>
        </w:rPr>
        <w:t xml:space="preserve"> Kim</w:t>
      </w:r>
      <w:r w:rsidR="00B80DC2">
        <w:rPr>
          <w:rFonts w:ascii="Times New Roman" w:hAnsi="Times New Roman" w:cs="Times New Roman"/>
        </w:rPr>
        <w:t xml:space="preserve">, </w:t>
      </w:r>
    </w:p>
    <w:p w14:paraId="4CB88863" w14:textId="23D824B8" w:rsidR="00550D05" w:rsidRDefault="004735FA" w:rsidP="00B80DC2">
      <w:pPr>
        <w:spacing w:line="276" w:lineRule="auto"/>
        <w:jc w:val="center"/>
        <w:rPr>
          <w:rFonts w:ascii="Times New Roman" w:hAnsi="Times New Roman" w:cs="Times New Roman"/>
        </w:rPr>
      </w:pPr>
      <w:r w:rsidRPr="00B80DC2">
        <w:rPr>
          <w:rFonts w:ascii="Times New Roman" w:hAnsi="Times New Roman" w:cs="Times New Roman"/>
        </w:rPr>
        <w:t>Alexander Smith</w:t>
      </w:r>
      <w:r w:rsidR="00B80DC2">
        <w:rPr>
          <w:rFonts w:ascii="Times New Roman" w:hAnsi="Times New Roman" w:cs="Times New Roman"/>
        </w:rPr>
        <w:t xml:space="preserve">, </w:t>
      </w:r>
      <w:proofErr w:type="spellStart"/>
      <w:r w:rsidR="00550D05" w:rsidRPr="00B80DC2">
        <w:rPr>
          <w:rFonts w:ascii="Times New Roman" w:hAnsi="Times New Roman" w:cs="Times New Roman"/>
        </w:rPr>
        <w:t>Xiaojing</w:t>
      </w:r>
      <w:proofErr w:type="spellEnd"/>
      <w:r w:rsidR="00550D05" w:rsidRPr="00B80DC2">
        <w:rPr>
          <w:rFonts w:ascii="Times New Roman" w:hAnsi="Times New Roman" w:cs="Times New Roman"/>
        </w:rPr>
        <w:t xml:space="preserve"> Sun</w:t>
      </w:r>
      <w:r w:rsidR="00B80DC2">
        <w:rPr>
          <w:rFonts w:ascii="Times New Roman" w:hAnsi="Times New Roman" w:cs="Times New Roman"/>
        </w:rPr>
        <w:t xml:space="preserve">, and </w:t>
      </w:r>
      <w:r w:rsidR="00550D05" w:rsidRPr="00B80DC2">
        <w:rPr>
          <w:rFonts w:ascii="Times New Roman" w:hAnsi="Times New Roman" w:cs="Times New Roman"/>
        </w:rPr>
        <w:t>Yu Wang</w:t>
      </w:r>
    </w:p>
    <w:p w14:paraId="36055E5E" w14:textId="77777777" w:rsidR="00B80DC2" w:rsidRPr="00B80DC2" w:rsidRDefault="00B80DC2" w:rsidP="00B80DC2">
      <w:pPr>
        <w:spacing w:line="276" w:lineRule="auto"/>
        <w:jc w:val="center"/>
        <w:rPr>
          <w:rFonts w:ascii="Times New Roman" w:hAnsi="Times New Roman" w:cs="Times New Roman"/>
        </w:rPr>
      </w:pPr>
    </w:p>
    <w:p w14:paraId="0203FD9B" w14:textId="4D6F1BC5" w:rsidR="00B80DC2" w:rsidRDefault="00B80DC2" w:rsidP="00A72615">
      <w:pPr>
        <w:spacing w:line="276" w:lineRule="auto"/>
        <w:jc w:val="center"/>
        <w:rPr>
          <w:rFonts w:ascii="Times New Roman" w:hAnsi="Times New Roman" w:cs="Times New Roman"/>
          <w:b/>
        </w:rPr>
      </w:pPr>
      <w:r>
        <w:rPr>
          <w:rFonts w:ascii="Times New Roman" w:hAnsi="Times New Roman" w:cs="Times New Roman"/>
          <w:b/>
        </w:rPr>
        <w:t>Georgia Institute of Technology</w:t>
      </w:r>
    </w:p>
    <w:p w14:paraId="5DA2E66F" w14:textId="3A89408A" w:rsidR="00B80DC2" w:rsidRPr="00F23E6D" w:rsidRDefault="00B80DC2" w:rsidP="00A72615">
      <w:pPr>
        <w:spacing w:line="276" w:lineRule="auto"/>
        <w:jc w:val="center"/>
        <w:rPr>
          <w:rFonts w:ascii="Times New Roman" w:hAnsi="Times New Roman" w:cs="Times New Roman"/>
          <w:b/>
        </w:rPr>
      </w:pPr>
      <w:r>
        <w:rPr>
          <w:rFonts w:ascii="Times New Roman" w:hAnsi="Times New Roman" w:cs="Times New Roman"/>
          <w:b/>
        </w:rPr>
        <w:t>School of Public Policy</w:t>
      </w:r>
      <w:bookmarkStart w:id="0" w:name="_GoBack"/>
      <w:bookmarkEnd w:id="0"/>
    </w:p>
    <w:p w14:paraId="0381945D" w14:textId="63B4E837" w:rsidR="00550D05" w:rsidRPr="00F23E6D" w:rsidRDefault="00B80DC2" w:rsidP="00B80DC2">
      <w:pPr>
        <w:spacing w:line="276" w:lineRule="auto"/>
        <w:jc w:val="center"/>
        <w:rPr>
          <w:rFonts w:ascii="Times New Roman" w:hAnsi="Times New Roman" w:cs="Times New Roman"/>
          <w:b/>
        </w:rPr>
      </w:pPr>
      <w:r>
        <w:rPr>
          <w:rFonts w:ascii="Times New Roman" w:hAnsi="Times New Roman" w:cs="Times New Roman"/>
          <w:b/>
        </w:rPr>
        <w:t>December 1</w:t>
      </w:r>
      <w:r w:rsidR="007260C9">
        <w:rPr>
          <w:rFonts w:ascii="Times New Roman" w:hAnsi="Times New Roman" w:cs="Times New Roman"/>
          <w:b/>
        </w:rPr>
        <w:t>7</w:t>
      </w:r>
      <w:r>
        <w:rPr>
          <w:rFonts w:ascii="Times New Roman" w:hAnsi="Times New Roman" w:cs="Times New Roman"/>
          <w:b/>
        </w:rPr>
        <w:t>, 2014</w:t>
      </w:r>
    </w:p>
    <w:p w14:paraId="2EC70DE0" w14:textId="2505B51D" w:rsidR="003E6DA2" w:rsidRPr="00F23E6D" w:rsidRDefault="00F641D6" w:rsidP="00A72615">
      <w:pPr>
        <w:pStyle w:val="Heading1"/>
        <w:spacing w:line="276" w:lineRule="auto"/>
        <w:rPr>
          <w:rFonts w:ascii="Times New Roman" w:hAnsi="Times New Roman" w:cs="Times New Roman"/>
          <w:sz w:val="24"/>
          <w:szCs w:val="24"/>
        </w:rPr>
      </w:pPr>
      <w:r w:rsidRPr="00F23E6D">
        <w:rPr>
          <w:rFonts w:ascii="Times New Roman" w:hAnsi="Times New Roman" w:cs="Times New Roman"/>
          <w:sz w:val="24"/>
          <w:szCs w:val="24"/>
        </w:rPr>
        <w:t>Introduction</w:t>
      </w:r>
    </w:p>
    <w:p w14:paraId="0BF4C034" w14:textId="256C1AA0" w:rsidR="00833D77" w:rsidRPr="00F23E6D" w:rsidRDefault="00F641D6" w:rsidP="00A72615">
      <w:pPr>
        <w:pStyle w:val="TextBody"/>
        <w:spacing w:line="276" w:lineRule="auto"/>
        <w:rPr>
          <w:rFonts w:ascii="Times New Roman" w:hAnsi="Times New Roman" w:cs="Times New Roman"/>
        </w:rPr>
      </w:pPr>
      <w:r w:rsidRPr="00F23E6D">
        <w:rPr>
          <w:rFonts w:ascii="Times New Roman" w:hAnsi="Times New Roman" w:cs="Times New Roman"/>
        </w:rPr>
        <w:t>Georgia Tech's School of Public Policy assisted Duke University's Nicholas Institute of Environmental Policy Solutions (NIEPS) in its project with the World Resources Institute aimed at informing and analyzing potential US climate mitigation policies in the post-2</w:t>
      </w:r>
      <w:r w:rsidR="00550D05" w:rsidRPr="00F23E6D">
        <w:rPr>
          <w:rFonts w:ascii="Times New Roman" w:hAnsi="Times New Roman" w:cs="Times New Roman"/>
        </w:rPr>
        <w:t>020 period. The project involved</w:t>
      </w:r>
      <w:r w:rsidRPr="00F23E6D">
        <w:rPr>
          <w:rFonts w:ascii="Times New Roman" w:hAnsi="Times New Roman" w:cs="Times New Roman"/>
        </w:rPr>
        <w:t xml:space="preserve"> constructing scenarios consisting of multiple policies applied to various sectors of the US economy.</w:t>
      </w:r>
      <w:r w:rsidR="00550D05" w:rsidRPr="00F23E6D">
        <w:rPr>
          <w:rFonts w:ascii="Times New Roman" w:hAnsi="Times New Roman" w:cs="Times New Roman"/>
        </w:rPr>
        <w:t xml:space="preserve"> Georgia Tech was tasked with analyzing policies to promote energy efficiency in residential and commercial buildings and industry.</w:t>
      </w:r>
    </w:p>
    <w:p w14:paraId="6E14C93C" w14:textId="32697A74" w:rsidR="00014C6C" w:rsidRPr="00F23E6D" w:rsidRDefault="00C4403E" w:rsidP="00A72615">
      <w:pPr>
        <w:spacing w:line="276" w:lineRule="auto"/>
        <w:rPr>
          <w:rFonts w:ascii="Times New Roman" w:hAnsi="Times New Roman" w:cs="Times New Roman"/>
        </w:rPr>
      </w:pPr>
      <w:r w:rsidRPr="00F23E6D">
        <w:rPr>
          <w:rFonts w:ascii="Times New Roman" w:hAnsi="Times New Roman" w:cs="Times New Roman"/>
        </w:rPr>
        <w:t>In collaboration</w:t>
      </w:r>
      <w:r w:rsidR="00784E9C" w:rsidRPr="00F23E6D">
        <w:rPr>
          <w:rFonts w:ascii="Times New Roman" w:hAnsi="Times New Roman" w:cs="Times New Roman"/>
        </w:rPr>
        <w:t xml:space="preserve"> with Duke University, </w:t>
      </w:r>
      <w:r w:rsidR="00F641D6" w:rsidRPr="00F23E6D">
        <w:rPr>
          <w:rFonts w:ascii="Times New Roman" w:hAnsi="Times New Roman" w:cs="Times New Roman"/>
        </w:rPr>
        <w:t xml:space="preserve">Georgia Tech (GT) conducted </w:t>
      </w:r>
      <w:r w:rsidR="00784E9C" w:rsidRPr="00F23E6D">
        <w:rPr>
          <w:rFonts w:ascii="Times New Roman" w:hAnsi="Times New Roman" w:cs="Times New Roman"/>
        </w:rPr>
        <w:t xml:space="preserve">the </w:t>
      </w:r>
      <w:r w:rsidR="00F641D6" w:rsidRPr="00F23E6D">
        <w:rPr>
          <w:rFonts w:ascii="Times New Roman" w:hAnsi="Times New Roman" w:cs="Times New Roman"/>
        </w:rPr>
        <w:t xml:space="preserve">energy-economic modeling of a </w:t>
      </w:r>
      <w:r w:rsidR="00784E9C" w:rsidRPr="00F23E6D">
        <w:rPr>
          <w:rFonts w:ascii="Times New Roman" w:hAnsi="Times New Roman" w:cs="Times New Roman"/>
        </w:rPr>
        <w:t>set</w:t>
      </w:r>
      <w:r w:rsidR="00F641D6" w:rsidRPr="00F23E6D">
        <w:rPr>
          <w:rFonts w:ascii="Times New Roman" w:hAnsi="Times New Roman" w:cs="Times New Roman"/>
        </w:rPr>
        <w:t xml:space="preserve"> of policy scenarios </w:t>
      </w:r>
      <w:r w:rsidR="00784E9C" w:rsidRPr="00F23E6D">
        <w:rPr>
          <w:rFonts w:ascii="Times New Roman" w:hAnsi="Times New Roman" w:cs="Times New Roman"/>
        </w:rPr>
        <w:t>that define an “</w:t>
      </w:r>
      <w:r w:rsidR="002A225E" w:rsidRPr="00F23E6D">
        <w:rPr>
          <w:rFonts w:ascii="Times New Roman" w:hAnsi="Times New Roman" w:cs="Times New Roman"/>
        </w:rPr>
        <w:t>I</w:t>
      </w:r>
      <w:r w:rsidR="00784E9C" w:rsidRPr="00F23E6D">
        <w:rPr>
          <w:rFonts w:ascii="Times New Roman" w:hAnsi="Times New Roman" w:cs="Times New Roman"/>
        </w:rPr>
        <w:t>ntegrated High Efficiency Scenario.”</w:t>
      </w:r>
      <w:r w:rsidR="00F641D6" w:rsidRPr="00F23E6D">
        <w:rPr>
          <w:rFonts w:ascii="Times New Roman" w:hAnsi="Times New Roman" w:cs="Times New Roman"/>
        </w:rPr>
        <w:t xml:space="preserve"> This modeling was performed using the School of Public Policy's </w:t>
      </w:r>
      <w:r w:rsidR="001723AF" w:rsidRPr="00F23E6D">
        <w:rPr>
          <w:rFonts w:ascii="Times New Roman" w:hAnsi="Times New Roman" w:cs="Times New Roman"/>
        </w:rPr>
        <w:t>version</w:t>
      </w:r>
      <w:r w:rsidR="00F641D6" w:rsidRPr="00F23E6D">
        <w:rPr>
          <w:rFonts w:ascii="Times New Roman" w:hAnsi="Times New Roman" w:cs="Times New Roman"/>
        </w:rPr>
        <w:t xml:space="preserve"> of the Energy Information Agency's (EIA's) National Energy Modeling System (NEMS) release</w:t>
      </w:r>
      <w:r w:rsidR="00550D05" w:rsidRPr="00F23E6D">
        <w:rPr>
          <w:rFonts w:ascii="Times New Roman" w:hAnsi="Times New Roman" w:cs="Times New Roman"/>
        </w:rPr>
        <w:t>d in 2014</w:t>
      </w:r>
      <w:r w:rsidR="00F641D6" w:rsidRPr="00F23E6D">
        <w:rPr>
          <w:rFonts w:ascii="Times New Roman" w:hAnsi="Times New Roman" w:cs="Times New Roman"/>
        </w:rPr>
        <w:t xml:space="preserve">. </w:t>
      </w:r>
      <w:r w:rsidR="00014C6C" w:rsidRPr="00F23E6D">
        <w:rPr>
          <w:rFonts w:ascii="Times New Roman" w:hAnsi="Times New Roman" w:cs="Times New Roman"/>
        </w:rPr>
        <w:t>NEMS analyzes energy consumption changes by fuel type</w:t>
      </w:r>
      <w:r w:rsidR="00014C6C" w:rsidRPr="00F23E6D">
        <w:rPr>
          <w:rStyle w:val="FootnoteReference"/>
          <w:rFonts w:ascii="Times New Roman" w:hAnsi="Times New Roman" w:cs="Times New Roman"/>
        </w:rPr>
        <w:footnoteReference w:id="1"/>
      </w:r>
      <w:r w:rsidR="00014C6C" w:rsidRPr="00F23E6D">
        <w:rPr>
          <w:rFonts w:ascii="Times New Roman" w:hAnsi="Times New Roman" w:cs="Times New Roman"/>
        </w:rPr>
        <w:t xml:space="preserve"> along with policy scenario and energy market assumptions. </w:t>
      </w:r>
      <w:r w:rsidR="00014C6C" w:rsidRPr="00F23E6D">
        <w:rPr>
          <w:rFonts w:ascii="Times New Roman" w:eastAsia="Times New Roman" w:hAnsi="Times New Roman" w:cs="Times New Roman"/>
        </w:rPr>
        <w:t>Since the model is run on Georgia Tech computers, we call it “GT-NEMS”.</w:t>
      </w:r>
      <w:r w:rsidR="00014C6C" w:rsidRPr="00F23E6D">
        <w:rPr>
          <w:rStyle w:val="FootnoteReference"/>
          <w:rFonts w:ascii="Times New Roman" w:eastAsia="Times New Roman" w:hAnsi="Times New Roman" w:cs="Times New Roman"/>
        </w:rPr>
        <w:footnoteReference w:id="2"/>
      </w:r>
      <w:r w:rsidR="00014C6C" w:rsidRPr="00F23E6D">
        <w:rPr>
          <w:rFonts w:ascii="Times New Roman" w:eastAsia="Times New Roman" w:hAnsi="Times New Roman" w:cs="Times New Roman"/>
        </w:rPr>
        <w:t xml:space="preserve"> </w:t>
      </w:r>
      <w:r w:rsidR="00014C6C" w:rsidRPr="00F23E6D">
        <w:rPr>
          <w:rFonts w:ascii="Times New Roman" w:hAnsi="Times New Roman" w:cs="Times New Roman"/>
        </w:rPr>
        <w:t xml:space="preserve">NEMS uses resource supply and price data based on federal, state, and local laws and regulations in effect at the time of the analysis. The NEMS integrating module ensures general market equilibrium fuel prices and quantities across all twelve modules including supply (oil and gas, coal, and renewable fuels), demand (residential, commercial, industrial, and transportation sectors), energy conversion (electricity and petroleum markets), and macroeconomic and international energy market factors. NEMS is well suited to projecting how alternative energy policies might impact energy markets over time because it </w:t>
      </w:r>
      <w:r w:rsidR="00014C6C" w:rsidRPr="00F23E6D">
        <w:rPr>
          <w:rFonts w:ascii="Times New Roman" w:eastAsia="Times New Roman" w:hAnsi="Times New Roman" w:cs="Times New Roman"/>
          <w:color w:val="222222"/>
        </w:rPr>
        <w:t xml:space="preserve">has a detailed methodology for evaluating the market penetration of end-use technologies in different sectors of the economy, although less so in the industrial sector. </w:t>
      </w:r>
      <w:r w:rsidR="00014C6C" w:rsidRPr="00F23E6D">
        <w:rPr>
          <w:rFonts w:ascii="Times New Roman" w:hAnsi="Times New Roman" w:cs="Times New Roman"/>
        </w:rPr>
        <w:t>NEMS’ “bottom-up” technology configuration enables an assessment of technology investments, energy prices, energy consumption and expenditures, carbon abatement, and pollution prevention over time and across regions of the U.S.</w:t>
      </w:r>
    </w:p>
    <w:p w14:paraId="73CB24DD" w14:textId="77777777" w:rsidR="00014C6C" w:rsidRPr="00F23E6D" w:rsidRDefault="00014C6C" w:rsidP="00A72615">
      <w:pPr>
        <w:spacing w:line="276" w:lineRule="auto"/>
        <w:rPr>
          <w:rFonts w:ascii="Times New Roman" w:hAnsi="Times New Roman" w:cs="Times New Roman"/>
        </w:rPr>
      </w:pPr>
    </w:p>
    <w:p w14:paraId="02F20782" w14:textId="2E790540" w:rsidR="006A59B7" w:rsidRPr="00F23E6D" w:rsidRDefault="00F641D6" w:rsidP="00A72615">
      <w:pPr>
        <w:spacing w:line="276" w:lineRule="auto"/>
        <w:rPr>
          <w:rFonts w:ascii="Times New Roman" w:hAnsi="Times New Roman" w:cs="Times New Roman"/>
          <w:lang w:bidi="ar-SA"/>
        </w:rPr>
      </w:pPr>
      <w:r w:rsidRPr="00F23E6D">
        <w:rPr>
          <w:rFonts w:ascii="Times New Roman" w:hAnsi="Times New Roman" w:cs="Times New Roman"/>
        </w:rPr>
        <w:t xml:space="preserve">The 2014 NEMS release includes the </w:t>
      </w:r>
      <w:r w:rsidR="00550D05" w:rsidRPr="00F23E6D">
        <w:rPr>
          <w:rFonts w:ascii="Times New Roman" w:hAnsi="Times New Roman" w:cs="Times New Roman"/>
        </w:rPr>
        <w:t>R</w:t>
      </w:r>
      <w:r w:rsidRPr="00F23E6D">
        <w:rPr>
          <w:rFonts w:ascii="Times New Roman" w:hAnsi="Times New Roman" w:cs="Times New Roman"/>
        </w:rPr>
        <w:t>efere</w:t>
      </w:r>
      <w:r w:rsidR="001723AF" w:rsidRPr="00F23E6D">
        <w:rPr>
          <w:rFonts w:ascii="Times New Roman" w:hAnsi="Times New Roman" w:cs="Times New Roman"/>
        </w:rPr>
        <w:t>nce case from which EIA developed</w:t>
      </w:r>
      <w:r w:rsidRPr="00F23E6D">
        <w:rPr>
          <w:rFonts w:ascii="Times New Roman" w:hAnsi="Times New Roman" w:cs="Times New Roman"/>
        </w:rPr>
        <w:t xml:space="preserve"> its 2014 Annual Energy Outlook, which is the point of departure for the policy scenarios described here.</w:t>
      </w:r>
      <w:r w:rsidR="006A59B7" w:rsidRPr="00F23E6D">
        <w:rPr>
          <w:rFonts w:ascii="Times New Roman" w:hAnsi="Times New Roman" w:cs="Times New Roman"/>
        </w:rPr>
        <w:t xml:space="preserve"> </w:t>
      </w:r>
      <w:r w:rsidR="001723AF" w:rsidRPr="00F23E6D">
        <w:rPr>
          <w:rFonts w:ascii="Times New Roman" w:hAnsi="Times New Roman" w:cs="Times New Roman"/>
        </w:rPr>
        <w:t>This</w:t>
      </w:r>
      <w:r w:rsidR="006A59B7" w:rsidRPr="00F23E6D">
        <w:rPr>
          <w:rFonts w:ascii="Times New Roman" w:hAnsi="Times New Roman" w:cs="Times New Roman"/>
          <w:lang w:bidi="ar-SA"/>
        </w:rPr>
        <w:t xml:space="preserve"> Reference </w:t>
      </w:r>
      <w:r w:rsidR="006A59B7" w:rsidRPr="00F23E6D">
        <w:rPr>
          <w:rFonts w:ascii="Times New Roman" w:hAnsi="Times New Roman" w:cs="Times New Roman"/>
          <w:lang w:bidi="ar-SA"/>
        </w:rPr>
        <w:lastRenderedPageBreak/>
        <w:t>case is the “counterfactual” projection that is the business-as-usual trend estimate, given known technology and technological and demographic trends.</w:t>
      </w:r>
    </w:p>
    <w:p w14:paraId="410B64A8" w14:textId="77777777" w:rsidR="001723AF" w:rsidRPr="00F23E6D" w:rsidRDefault="001723AF" w:rsidP="00A72615">
      <w:pPr>
        <w:spacing w:line="276" w:lineRule="auto"/>
        <w:rPr>
          <w:rFonts w:ascii="Times New Roman" w:hAnsi="Times New Roman" w:cs="Times New Roman"/>
          <w:lang w:bidi="ar-SA"/>
        </w:rPr>
      </w:pPr>
    </w:p>
    <w:p w14:paraId="51BB275A" w14:textId="138B89B6" w:rsidR="00833D77" w:rsidRPr="00F23E6D" w:rsidRDefault="00F641D6" w:rsidP="00A72615">
      <w:pPr>
        <w:pStyle w:val="TextBody"/>
        <w:spacing w:line="276" w:lineRule="auto"/>
        <w:rPr>
          <w:rFonts w:ascii="Times New Roman" w:hAnsi="Times New Roman" w:cs="Times New Roman"/>
        </w:rPr>
      </w:pPr>
      <w:r w:rsidRPr="00F23E6D">
        <w:rPr>
          <w:rFonts w:ascii="Times New Roman" w:hAnsi="Times New Roman" w:cs="Times New Roman"/>
        </w:rPr>
        <w:t xml:space="preserve">The </w:t>
      </w:r>
      <w:r w:rsidR="001723AF" w:rsidRPr="00F23E6D">
        <w:rPr>
          <w:rFonts w:ascii="Times New Roman" w:hAnsi="Times New Roman" w:cs="Times New Roman"/>
        </w:rPr>
        <w:t xml:space="preserve">Integrated High Efficiency Scenario is defined by a set </w:t>
      </w:r>
      <w:r w:rsidRPr="00F23E6D">
        <w:rPr>
          <w:rFonts w:ascii="Times New Roman" w:hAnsi="Times New Roman" w:cs="Times New Roman"/>
        </w:rPr>
        <w:t xml:space="preserve">of </w:t>
      </w:r>
      <w:r w:rsidR="001723AF" w:rsidRPr="00F23E6D">
        <w:rPr>
          <w:rFonts w:ascii="Times New Roman" w:hAnsi="Times New Roman" w:cs="Times New Roman"/>
        </w:rPr>
        <w:t>policies including the following</w:t>
      </w:r>
      <w:r w:rsidRPr="00F23E6D">
        <w:rPr>
          <w:rFonts w:ascii="Times New Roman" w:hAnsi="Times New Roman" w:cs="Times New Roman"/>
        </w:rPr>
        <w:t>:</w:t>
      </w:r>
    </w:p>
    <w:p w14:paraId="13E19937" w14:textId="77777777" w:rsidR="00F641D6" w:rsidRPr="00F23E6D" w:rsidRDefault="00F641D6" w:rsidP="00A72615">
      <w:pPr>
        <w:pStyle w:val="TextBody"/>
        <w:spacing w:line="276" w:lineRule="auto"/>
        <w:rPr>
          <w:rFonts w:ascii="Times New Roman" w:hAnsi="Times New Roman" w:cs="Times New Roman"/>
        </w:rPr>
      </w:pPr>
      <w:r w:rsidRPr="00F23E6D">
        <w:rPr>
          <w:rFonts w:ascii="Times New Roman" w:hAnsi="Times New Roman" w:cs="Times New Roman"/>
        </w:rPr>
        <w:t>Residential appliance standards</w:t>
      </w:r>
    </w:p>
    <w:p w14:paraId="50BF8D93" w14:textId="40E06921" w:rsidR="00833D77" w:rsidRPr="00F23E6D" w:rsidRDefault="00F641D6" w:rsidP="00A72615">
      <w:pPr>
        <w:pStyle w:val="TextBody"/>
        <w:spacing w:line="276" w:lineRule="auto"/>
        <w:rPr>
          <w:rFonts w:ascii="Times New Roman" w:hAnsi="Times New Roman" w:cs="Times New Roman"/>
        </w:rPr>
      </w:pPr>
      <w:r w:rsidRPr="00F23E6D">
        <w:rPr>
          <w:rFonts w:ascii="Times New Roman" w:hAnsi="Times New Roman" w:cs="Times New Roman"/>
        </w:rPr>
        <w:t xml:space="preserve">Commercial </w:t>
      </w:r>
      <w:r w:rsidR="00057733" w:rsidRPr="00F23E6D">
        <w:rPr>
          <w:rFonts w:ascii="Times New Roman" w:hAnsi="Times New Roman" w:cs="Times New Roman"/>
        </w:rPr>
        <w:t>High Demand Tech</w:t>
      </w:r>
      <w:r w:rsidR="000E49E3" w:rsidRPr="00F23E6D">
        <w:rPr>
          <w:rFonts w:ascii="Times New Roman" w:hAnsi="Times New Roman" w:cs="Times New Roman"/>
        </w:rPr>
        <w:t>nology equipment performance</w:t>
      </w:r>
      <w:r w:rsidRPr="00F23E6D">
        <w:rPr>
          <w:rFonts w:ascii="Times New Roman" w:hAnsi="Times New Roman" w:cs="Times New Roman"/>
        </w:rPr>
        <w:t xml:space="preserve"> </w:t>
      </w:r>
    </w:p>
    <w:p w14:paraId="5FA71BE3" w14:textId="446D636B" w:rsidR="00833D77" w:rsidRPr="00F23E6D" w:rsidRDefault="00344AFD" w:rsidP="00A72615">
      <w:pPr>
        <w:pStyle w:val="TextBody"/>
        <w:spacing w:line="276" w:lineRule="auto"/>
        <w:rPr>
          <w:rFonts w:ascii="Times New Roman" w:hAnsi="Times New Roman" w:cs="Times New Roman"/>
        </w:rPr>
      </w:pPr>
      <w:r w:rsidRPr="00F23E6D">
        <w:rPr>
          <w:rFonts w:ascii="Times New Roman" w:hAnsi="Times New Roman" w:cs="Times New Roman"/>
        </w:rPr>
        <w:t>Stricter b</w:t>
      </w:r>
      <w:r w:rsidR="00F641D6" w:rsidRPr="00F23E6D">
        <w:rPr>
          <w:rFonts w:ascii="Times New Roman" w:hAnsi="Times New Roman" w:cs="Times New Roman"/>
        </w:rPr>
        <w:t>uilding energy codes in the residential and commercial sectors, focused on improved building envelope and HVAC equipment efficiency</w:t>
      </w:r>
    </w:p>
    <w:p w14:paraId="28E5CB5A" w14:textId="7E6B64EA" w:rsidR="00833D77" w:rsidRPr="00F23E6D" w:rsidRDefault="00344AFD" w:rsidP="00A72615">
      <w:pPr>
        <w:pStyle w:val="TextBody"/>
        <w:spacing w:line="276" w:lineRule="auto"/>
        <w:rPr>
          <w:rFonts w:ascii="Times New Roman" w:hAnsi="Times New Roman" w:cs="Times New Roman"/>
        </w:rPr>
      </w:pPr>
      <w:r w:rsidRPr="00F23E6D">
        <w:rPr>
          <w:rFonts w:ascii="Times New Roman" w:hAnsi="Times New Roman" w:cs="Times New Roman"/>
        </w:rPr>
        <w:t>An extended</w:t>
      </w:r>
      <w:r w:rsidR="00F641D6" w:rsidRPr="00F23E6D">
        <w:rPr>
          <w:rFonts w:ascii="Times New Roman" w:hAnsi="Times New Roman" w:cs="Times New Roman"/>
        </w:rPr>
        <w:t xml:space="preserve"> investment tax credit to accelerate the adoption of industrial combined heat and power (CHP) systems</w:t>
      </w:r>
      <w:r w:rsidRPr="00F23E6D">
        <w:rPr>
          <w:rFonts w:ascii="Times New Roman" w:hAnsi="Times New Roman" w:cs="Times New Roman"/>
        </w:rPr>
        <w:t>, lower cost biomass resources that expand paper production and therefore CHP operations,</w:t>
      </w:r>
      <w:r w:rsidR="00F641D6" w:rsidRPr="00F23E6D">
        <w:rPr>
          <w:rFonts w:ascii="Times New Roman" w:hAnsi="Times New Roman" w:cs="Times New Roman"/>
        </w:rPr>
        <w:t xml:space="preserve"> and stricter industrial motor standards</w:t>
      </w:r>
    </w:p>
    <w:p w14:paraId="12B70727" w14:textId="77777777" w:rsidR="00F641D6" w:rsidRPr="00F23E6D" w:rsidRDefault="00F641D6" w:rsidP="00A72615">
      <w:pPr>
        <w:pStyle w:val="TextBody"/>
        <w:spacing w:line="276" w:lineRule="auto"/>
        <w:rPr>
          <w:rFonts w:ascii="Times New Roman" w:hAnsi="Times New Roman" w:cs="Times New Roman"/>
        </w:rPr>
      </w:pPr>
      <w:r w:rsidRPr="00F23E6D">
        <w:rPr>
          <w:rFonts w:ascii="Times New Roman" w:hAnsi="Times New Roman" w:cs="Times New Roman"/>
        </w:rPr>
        <w:t>Accelerated development and deployment of energy-efficient equipment in five energy-intensive industrial sectors.</w:t>
      </w:r>
    </w:p>
    <w:p w14:paraId="5F1ABBC3" w14:textId="6B2ECF3A" w:rsidR="001723AF" w:rsidRPr="00F23E6D" w:rsidRDefault="001723AF" w:rsidP="00A72615">
      <w:pPr>
        <w:pStyle w:val="TextBody"/>
        <w:spacing w:line="276" w:lineRule="auto"/>
        <w:rPr>
          <w:rFonts w:ascii="Times New Roman" w:hAnsi="Times New Roman" w:cs="Times New Roman"/>
        </w:rPr>
      </w:pPr>
      <w:r w:rsidRPr="00F23E6D">
        <w:rPr>
          <w:rFonts w:ascii="Times New Roman" w:hAnsi="Times New Roman" w:cs="Times New Roman"/>
        </w:rPr>
        <w:t>The following section describes the Integrated High Efficiency Scenario in more detail.</w:t>
      </w:r>
    </w:p>
    <w:p w14:paraId="1B66BCC2" w14:textId="6376DA1C" w:rsidR="008316E1" w:rsidRPr="00F23E6D" w:rsidRDefault="001723AF" w:rsidP="00A72615">
      <w:pPr>
        <w:pStyle w:val="Heading1"/>
        <w:spacing w:line="276" w:lineRule="auto"/>
        <w:rPr>
          <w:rFonts w:ascii="Times New Roman" w:hAnsi="Times New Roman" w:cs="Times New Roman"/>
          <w:sz w:val="24"/>
          <w:szCs w:val="24"/>
        </w:rPr>
      </w:pPr>
      <w:r w:rsidRPr="00F23E6D">
        <w:rPr>
          <w:rFonts w:ascii="Times New Roman" w:hAnsi="Times New Roman" w:cs="Times New Roman"/>
          <w:sz w:val="24"/>
          <w:szCs w:val="24"/>
        </w:rPr>
        <w:t>Scenario Definition</w:t>
      </w:r>
    </w:p>
    <w:p w14:paraId="297BBDAA" w14:textId="7DD0C22D" w:rsidR="003552D5" w:rsidRPr="00F23E6D" w:rsidRDefault="008316E1" w:rsidP="00A72615">
      <w:pPr>
        <w:spacing w:line="276" w:lineRule="auto"/>
        <w:rPr>
          <w:rFonts w:ascii="Times New Roman" w:hAnsi="Times New Roman" w:cs="Times New Roman"/>
          <w:lang w:bidi="ar-SA"/>
        </w:rPr>
      </w:pPr>
      <w:r w:rsidRPr="00F23E6D">
        <w:rPr>
          <w:rFonts w:ascii="Times New Roman" w:hAnsi="Times New Roman" w:cs="Times New Roman"/>
        </w:rPr>
        <w:t xml:space="preserve">The modeling </w:t>
      </w:r>
      <w:r w:rsidR="001723AF" w:rsidRPr="00F23E6D">
        <w:rPr>
          <w:rFonts w:ascii="Times New Roman" w:hAnsi="Times New Roman" w:cs="Times New Roman"/>
        </w:rPr>
        <w:t>of an Integrated High Efficiency Scenario</w:t>
      </w:r>
      <w:r w:rsidRPr="00F23E6D">
        <w:rPr>
          <w:rFonts w:ascii="Times New Roman" w:hAnsi="Times New Roman" w:cs="Times New Roman"/>
        </w:rPr>
        <w:t xml:space="preserve"> relies heavily on a set of NEMS side cases prepared by EIA in conjunction with the release of the </w:t>
      </w:r>
      <w:r w:rsidRPr="00F23E6D">
        <w:rPr>
          <w:rFonts w:ascii="Times New Roman" w:hAnsi="Times New Roman" w:cs="Times New Roman"/>
          <w:i/>
        </w:rPr>
        <w:t>2014 Annual Energy Outlook</w:t>
      </w:r>
      <w:r w:rsidRPr="00F23E6D">
        <w:rPr>
          <w:rFonts w:ascii="Times New Roman" w:hAnsi="Times New Roman" w:cs="Times New Roman"/>
        </w:rPr>
        <w:t>.</w:t>
      </w:r>
      <w:r w:rsidR="00B026C1" w:rsidRPr="00F23E6D">
        <w:rPr>
          <w:rFonts w:ascii="Times New Roman" w:hAnsi="Times New Roman" w:cs="Times New Roman"/>
        </w:rPr>
        <w:t xml:space="preserve"> </w:t>
      </w:r>
      <w:r w:rsidR="00C548DE" w:rsidRPr="00F23E6D">
        <w:rPr>
          <w:rFonts w:ascii="Times New Roman" w:hAnsi="Times New Roman" w:cs="Times New Roman"/>
        </w:rPr>
        <w:t>W</w:t>
      </w:r>
      <w:r w:rsidR="003552D5" w:rsidRPr="00F23E6D">
        <w:rPr>
          <w:rFonts w:ascii="Times New Roman" w:hAnsi="Times New Roman" w:cs="Times New Roman"/>
        </w:rPr>
        <w:t xml:space="preserve">e build our integrated scenario by starting with the assumptions of the </w:t>
      </w:r>
      <w:r w:rsidR="003552D5" w:rsidRPr="00F23E6D">
        <w:rPr>
          <w:rFonts w:ascii="Times New Roman" w:hAnsi="Times New Roman" w:cs="Times New Roman"/>
          <w:b/>
          <w:lang w:bidi="ar-SA"/>
        </w:rPr>
        <w:t>High Demand Technology</w:t>
      </w:r>
      <w:r w:rsidR="003552D5" w:rsidRPr="00F23E6D">
        <w:rPr>
          <w:rFonts w:ascii="Times New Roman" w:hAnsi="Times New Roman" w:cs="Times New Roman"/>
          <w:lang w:bidi="ar-SA"/>
        </w:rPr>
        <w:t xml:space="preserve"> side case</w:t>
      </w:r>
      <w:r w:rsidR="00CD1A9B" w:rsidRPr="00F23E6D">
        <w:rPr>
          <w:rFonts w:ascii="Times New Roman" w:hAnsi="Times New Roman" w:cs="Times New Roman"/>
          <w:lang w:bidi="ar-SA"/>
        </w:rPr>
        <w:t>, which:</w:t>
      </w:r>
      <w:r w:rsidR="003552D5" w:rsidRPr="00F23E6D">
        <w:rPr>
          <w:rFonts w:ascii="Times New Roman" w:hAnsi="Times New Roman" w:cs="Times New Roman"/>
          <w:lang w:bidi="ar-SA"/>
        </w:rPr>
        <w:t xml:space="preserve"> </w:t>
      </w:r>
    </w:p>
    <w:p w14:paraId="13DF3BA0" w14:textId="77777777" w:rsidR="003552D5" w:rsidRPr="00F23E6D" w:rsidRDefault="003552D5" w:rsidP="00A72615">
      <w:pPr>
        <w:spacing w:line="276" w:lineRule="auto"/>
        <w:rPr>
          <w:rFonts w:ascii="Times New Roman" w:hAnsi="Times New Roman" w:cs="Times New Roman"/>
          <w:lang w:bidi="ar-SA"/>
        </w:rPr>
      </w:pPr>
    </w:p>
    <w:p w14:paraId="10CD6B5C" w14:textId="3242DE37" w:rsidR="003552D5" w:rsidRPr="00F23E6D" w:rsidRDefault="00CD1A9B"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roofErr w:type="gramStart"/>
      <w:r w:rsidRPr="00F23E6D">
        <w:rPr>
          <w:rFonts w:ascii="Times New Roman" w:hAnsi="Times New Roman" w:cs="Times New Roman"/>
          <w:lang w:bidi="ar-SA"/>
        </w:rPr>
        <w:t>a</w:t>
      </w:r>
      <w:r w:rsidR="003552D5" w:rsidRPr="00F23E6D">
        <w:rPr>
          <w:rFonts w:ascii="Times New Roman" w:hAnsi="Times New Roman" w:cs="Times New Roman"/>
          <w:lang w:bidi="ar-SA"/>
        </w:rPr>
        <w:t>ssumes</w:t>
      </w:r>
      <w:proofErr w:type="gramEnd"/>
      <w:r w:rsidR="003552D5" w:rsidRPr="00F23E6D">
        <w:rPr>
          <w:rFonts w:ascii="Times New Roman" w:hAnsi="Times New Roman" w:cs="Times New Roman"/>
          <w:lang w:bidi="ar-SA"/>
        </w:rPr>
        <w:t xml:space="preserve"> earlier</w:t>
      </w:r>
      <w:r w:rsidR="00537B73" w:rsidRPr="00F23E6D">
        <w:rPr>
          <w:rFonts w:ascii="Times New Roman" w:hAnsi="Times New Roman" w:cs="Times New Roman"/>
          <w:lang w:bidi="ar-SA"/>
        </w:rPr>
        <w:t xml:space="preserve"> </w:t>
      </w:r>
      <w:r w:rsidR="003552D5" w:rsidRPr="00F23E6D">
        <w:rPr>
          <w:rFonts w:ascii="Times New Roman" w:hAnsi="Times New Roman" w:cs="Times New Roman"/>
          <w:lang w:bidi="ar-SA"/>
        </w:rPr>
        <w:t>availability, lower costs, and higher efficiencies for more advanced residential</w:t>
      </w:r>
      <w:r w:rsidR="00537B73" w:rsidRPr="00F23E6D">
        <w:rPr>
          <w:rFonts w:ascii="Times New Roman" w:hAnsi="Times New Roman" w:cs="Times New Roman"/>
          <w:lang w:bidi="ar-SA"/>
        </w:rPr>
        <w:t xml:space="preserve"> </w:t>
      </w:r>
      <w:r w:rsidR="003552D5" w:rsidRPr="00F23E6D">
        <w:rPr>
          <w:rFonts w:ascii="Times New Roman" w:hAnsi="Times New Roman" w:cs="Times New Roman"/>
          <w:lang w:bidi="ar-SA"/>
        </w:rPr>
        <w:t>and commercial equipment. For new residential construction, building code</w:t>
      </w:r>
      <w:r w:rsidR="00537B73" w:rsidRPr="00F23E6D">
        <w:rPr>
          <w:rFonts w:ascii="Times New Roman" w:hAnsi="Times New Roman" w:cs="Times New Roman"/>
          <w:lang w:bidi="ar-SA"/>
        </w:rPr>
        <w:t xml:space="preserve"> </w:t>
      </w:r>
      <w:r w:rsidR="003552D5" w:rsidRPr="00F23E6D">
        <w:rPr>
          <w:rFonts w:ascii="Times New Roman" w:hAnsi="Times New Roman" w:cs="Times New Roman"/>
          <w:lang w:bidi="ar-SA"/>
        </w:rPr>
        <w:t>compliance is assumed to improve after 2013, and building shell efficiencies</w:t>
      </w:r>
      <w:r w:rsidRPr="00F23E6D">
        <w:rPr>
          <w:rFonts w:ascii="Times New Roman" w:hAnsi="Times New Roman" w:cs="Times New Roman"/>
          <w:lang w:bidi="ar-SA"/>
        </w:rPr>
        <w:t xml:space="preserve"> </w:t>
      </w:r>
      <w:r w:rsidR="003552D5" w:rsidRPr="00F23E6D">
        <w:rPr>
          <w:rFonts w:ascii="Times New Roman" w:hAnsi="Times New Roman" w:cs="Times New Roman"/>
          <w:lang w:bidi="ar-SA"/>
        </w:rPr>
        <w:t>are assumed to meet ENERGY STAR requirements by 2023. Existing residential</w:t>
      </w:r>
      <w:r w:rsidR="00537B73" w:rsidRPr="00F23E6D">
        <w:rPr>
          <w:rFonts w:ascii="Times New Roman" w:hAnsi="Times New Roman" w:cs="Times New Roman"/>
          <w:lang w:bidi="ar-SA"/>
        </w:rPr>
        <w:t xml:space="preserve"> </w:t>
      </w:r>
      <w:r w:rsidR="003552D5" w:rsidRPr="00F23E6D">
        <w:rPr>
          <w:rFonts w:ascii="Times New Roman" w:hAnsi="Times New Roman" w:cs="Times New Roman"/>
          <w:lang w:bidi="ar-SA"/>
        </w:rPr>
        <w:t>building shells exhibit 50% more improvement than in the Reference case</w:t>
      </w:r>
      <w:r w:rsidR="00537B73" w:rsidRPr="00F23E6D">
        <w:rPr>
          <w:rFonts w:ascii="Times New Roman" w:hAnsi="Times New Roman" w:cs="Times New Roman"/>
          <w:lang w:bidi="ar-SA"/>
        </w:rPr>
        <w:t xml:space="preserve"> </w:t>
      </w:r>
      <w:r w:rsidR="003552D5" w:rsidRPr="00F23E6D">
        <w:rPr>
          <w:rFonts w:ascii="Times New Roman" w:hAnsi="Times New Roman" w:cs="Times New Roman"/>
          <w:lang w:bidi="ar-SA"/>
        </w:rPr>
        <w:t>after 2013. New and existing commercial building shells are assumed to</w:t>
      </w:r>
      <w:r w:rsidRPr="00F23E6D">
        <w:rPr>
          <w:rFonts w:ascii="Times New Roman" w:hAnsi="Times New Roman" w:cs="Times New Roman"/>
          <w:lang w:bidi="ar-SA"/>
        </w:rPr>
        <w:t xml:space="preserve"> </w:t>
      </w:r>
      <w:r w:rsidR="003552D5" w:rsidRPr="00F23E6D">
        <w:rPr>
          <w:rFonts w:ascii="Times New Roman" w:hAnsi="Times New Roman" w:cs="Times New Roman"/>
          <w:lang w:bidi="ar-SA"/>
        </w:rPr>
        <w:t>improve 25% more than in the Reference case by 2040. Industrial sector</w:t>
      </w:r>
      <w:r w:rsidR="00537B73" w:rsidRPr="00F23E6D">
        <w:rPr>
          <w:rFonts w:ascii="Times New Roman" w:hAnsi="Times New Roman" w:cs="Times New Roman"/>
          <w:lang w:bidi="ar-SA"/>
        </w:rPr>
        <w:t xml:space="preserve"> </w:t>
      </w:r>
      <w:r w:rsidR="003552D5" w:rsidRPr="00F23E6D">
        <w:rPr>
          <w:rFonts w:ascii="Times New Roman" w:hAnsi="Times New Roman" w:cs="Times New Roman"/>
          <w:lang w:bidi="ar-SA"/>
        </w:rPr>
        <w:t>assumes earlier availability, low</w:t>
      </w:r>
      <w:r w:rsidR="00537B73" w:rsidRPr="00F23E6D">
        <w:rPr>
          <w:rFonts w:ascii="Times New Roman" w:hAnsi="Times New Roman" w:cs="Times New Roman"/>
          <w:lang w:bidi="ar-SA"/>
        </w:rPr>
        <w:t xml:space="preserve">er costs, and higher efficiency </w:t>
      </w:r>
      <w:r w:rsidR="003552D5" w:rsidRPr="00F23E6D">
        <w:rPr>
          <w:rFonts w:ascii="Times New Roman" w:hAnsi="Times New Roman" w:cs="Times New Roman"/>
          <w:lang w:bidi="ar-SA"/>
        </w:rPr>
        <w:t>for more</w:t>
      </w:r>
      <w:r w:rsidR="00537B73" w:rsidRPr="00F23E6D">
        <w:rPr>
          <w:rFonts w:ascii="Times New Roman" w:hAnsi="Times New Roman" w:cs="Times New Roman"/>
          <w:lang w:bidi="ar-SA"/>
        </w:rPr>
        <w:t xml:space="preserve"> </w:t>
      </w:r>
      <w:r w:rsidR="003552D5" w:rsidRPr="00F23E6D">
        <w:rPr>
          <w:rFonts w:ascii="Times New Roman" w:hAnsi="Times New Roman" w:cs="Times New Roman"/>
          <w:lang w:bidi="ar-SA"/>
        </w:rPr>
        <w:t>advanced equipment and a more rapid rate of improvement in the recovery of</w:t>
      </w:r>
      <w:r w:rsidR="00133908" w:rsidRPr="00F23E6D">
        <w:rPr>
          <w:rFonts w:ascii="Times New Roman" w:hAnsi="Times New Roman" w:cs="Times New Roman"/>
          <w:lang w:bidi="ar-SA"/>
        </w:rPr>
        <w:t xml:space="preserve"> </w:t>
      </w:r>
      <w:r w:rsidR="003552D5" w:rsidRPr="00F23E6D">
        <w:rPr>
          <w:rFonts w:ascii="Times New Roman" w:hAnsi="Times New Roman" w:cs="Times New Roman"/>
          <w:lang w:bidi="ar-SA"/>
        </w:rPr>
        <w:t>biomass byproducts from industrial processes</w:t>
      </w:r>
      <w:r w:rsidR="00133908" w:rsidRPr="00F23E6D">
        <w:rPr>
          <w:rFonts w:ascii="Times New Roman" w:hAnsi="Times New Roman" w:cs="Times New Roman"/>
          <w:lang w:bidi="ar-SA"/>
        </w:rPr>
        <w:t>…</w:t>
      </w:r>
      <w:r w:rsidR="003552D5" w:rsidRPr="00F23E6D">
        <w:rPr>
          <w:rFonts w:ascii="Times New Roman" w:hAnsi="Times New Roman" w:cs="Times New Roman"/>
          <w:lang w:bidi="ar-SA"/>
        </w:rPr>
        <w:t>.” (AEO, 2014, p. E-8).</w:t>
      </w:r>
    </w:p>
    <w:p w14:paraId="3C884396" w14:textId="77777777" w:rsidR="00537B73" w:rsidRPr="00F23E6D" w:rsidRDefault="00537B73" w:rsidP="00A72615">
      <w:pPr>
        <w:spacing w:line="276" w:lineRule="auto"/>
        <w:rPr>
          <w:rFonts w:ascii="Times New Roman" w:hAnsi="Times New Roman" w:cs="Times New Roman"/>
          <w:lang w:bidi="ar-SA"/>
        </w:rPr>
      </w:pPr>
    </w:p>
    <w:p w14:paraId="0EB06426" w14:textId="54F1A5D8" w:rsidR="003552D5" w:rsidRPr="00F23E6D" w:rsidRDefault="003552D5" w:rsidP="00A72615">
      <w:pPr>
        <w:pStyle w:val="ListParagraph"/>
        <w:spacing w:line="276" w:lineRule="auto"/>
        <w:rPr>
          <w:rFonts w:ascii="Times New Roman" w:hAnsi="Times New Roman" w:cs="Times New Roman"/>
          <w:lang w:bidi="ar-SA"/>
        </w:rPr>
      </w:pPr>
      <w:r w:rsidRPr="00F23E6D">
        <w:rPr>
          <w:rFonts w:ascii="Times New Roman" w:hAnsi="Times New Roman" w:cs="Times New Roman"/>
          <w:lang w:bidi="ar-SA"/>
        </w:rPr>
        <w:t xml:space="preserve">For the residential sector, the High Demand Technology case assumes that </w:t>
      </w:r>
      <w:r w:rsidR="00862F52" w:rsidRPr="00F23E6D">
        <w:rPr>
          <w:rFonts w:ascii="Times New Roman" w:hAnsi="Times New Roman" w:cs="Times New Roman"/>
          <w:lang w:bidi="ar-SA"/>
        </w:rPr>
        <w:t>“</w:t>
      </w:r>
      <w:r w:rsidRPr="00F23E6D">
        <w:rPr>
          <w:rFonts w:ascii="Times New Roman" w:hAnsi="Times New Roman" w:cs="Times New Roman"/>
          <w:lang w:bidi="ar-SA"/>
        </w:rPr>
        <w:t>residential advanced equipment is available earlier, at lower costs,</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 xml:space="preserve">and/or at higher efficiencies </w:t>
      </w:r>
      <w:r w:rsidR="004D10D5" w:rsidRPr="00F23E6D">
        <w:rPr>
          <w:rFonts w:ascii="Times New Roman" w:hAnsi="Times New Roman" w:cs="Times New Roman"/>
          <w:lang w:bidi="ar-SA"/>
        </w:rPr>
        <w:t>(Navigant Consulting, Inc. with SAIC, 2011)</w:t>
      </w:r>
      <w:r w:rsidRPr="00F23E6D">
        <w:rPr>
          <w:rFonts w:ascii="Times New Roman" w:hAnsi="Times New Roman" w:cs="Times New Roman"/>
          <w:lang w:bidi="ar-SA"/>
        </w:rPr>
        <w:t xml:space="preserve"> Existing building shell efficiencies exhibit 50% more improvement than in the Reference case</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after 2013. For new construction, building code compliance is assumed to improve after 2013, and building shell efficiencies</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are assumed to meet ENERGY STAR requirements by 2023. Consumers evaluate investments in energy efficiency at a 7% real</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discount rate.</w:t>
      </w:r>
      <w:r w:rsidR="004C4D95" w:rsidRPr="00F23E6D">
        <w:rPr>
          <w:rFonts w:ascii="Times New Roman" w:hAnsi="Times New Roman" w:cs="Times New Roman"/>
          <w:lang w:bidi="ar-SA"/>
        </w:rPr>
        <w:t>”</w:t>
      </w:r>
      <w:r w:rsidR="00583C2D" w:rsidRPr="00F23E6D">
        <w:rPr>
          <w:rFonts w:ascii="Times New Roman" w:hAnsi="Times New Roman" w:cs="Times New Roman"/>
          <w:lang w:bidi="ar-SA"/>
        </w:rPr>
        <w:t xml:space="preserve"> (IEA, 2014, p. E-9).</w:t>
      </w:r>
    </w:p>
    <w:p w14:paraId="0BE2BC24" w14:textId="77777777" w:rsidR="003552D5" w:rsidRPr="00F23E6D" w:rsidRDefault="003552D5" w:rsidP="00A72615">
      <w:pPr>
        <w:spacing w:line="276" w:lineRule="auto"/>
        <w:rPr>
          <w:rFonts w:ascii="Times New Roman" w:hAnsi="Times New Roman" w:cs="Times New Roman"/>
          <w:lang w:bidi="ar-SA"/>
        </w:rPr>
      </w:pPr>
    </w:p>
    <w:p w14:paraId="48571623" w14:textId="597F2CE3" w:rsidR="003552D5" w:rsidRPr="00F23E6D" w:rsidRDefault="003552D5" w:rsidP="00A72615">
      <w:pPr>
        <w:pStyle w:val="ListParagraph"/>
        <w:spacing w:line="276" w:lineRule="auto"/>
        <w:rPr>
          <w:rFonts w:ascii="Times New Roman" w:hAnsi="Times New Roman" w:cs="Times New Roman"/>
          <w:lang w:bidi="ar-SA"/>
        </w:rPr>
      </w:pPr>
      <w:r w:rsidRPr="00F23E6D">
        <w:rPr>
          <w:rFonts w:ascii="Times New Roman" w:hAnsi="Times New Roman" w:cs="Times New Roman"/>
          <w:lang w:bidi="ar-SA"/>
        </w:rPr>
        <w:lastRenderedPageBreak/>
        <w:t xml:space="preserve">For the commercial sector, the High Demand Technology case assumes </w:t>
      </w:r>
      <w:r w:rsidR="00862F52" w:rsidRPr="00F23E6D">
        <w:rPr>
          <w:rFonts w:ascii="Times New Roman" w:hAnsi="Times New Roman" w:cs="Times New Roman"/>
          <w:lang w:bidi="ar-SA"/>
        </w:rPr>
        <w:t>“</w:t>
      </w:r>
      <w:r w:rsidRPr="00F23E6D">
        <w:rPr>
          <w:rFonts w:ascii="Times New Roman" w:hAnsi="Times New Roman" w:cs="Times New Roman"/>
          <w:lang w:bidi="ar-SA"/>
        </w:rPr>
        <w:t>that commercial advanced equipment is available earlier, at lower</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costs, and/or with higher efficiencies than in the Reference case. Energy efficiency investments are evaluated at a 7% real</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discount rate. For new and existing buildings in 2040, building shell efficiencies are assumed to show 25% more improvement</w:t>
      </w:r>
      <w:r w:rsidR="00FB357D" w:rsidRPr="00F23E6D">
        <w:rPr>
          <w:rFonts w:ascii="Times New Roman" w:hAnsi="Times New Roman" w:cs="Times New Roman"/>
          <w:lang w:bidi="ar-SA"/>
        </w:rPr>
        <w:t xml:space="preserve"> t</w:t>
      </w:r>
      <w:r w:rsidRPr="00F23E6D">
        <w:rPr>
          <w:rFonts w:ascii="Times New Roman" w:hAnsi="Times New Roman" w:cs="Times New Roman"/>
          <w:lang w:bidi="ar-SA"/>
        </w:rPr>
        <w:t>han in the Reference case.</w:t>
      </w:r>
      <w:r w:rsidR="00862F52" w:rsidRPr="00F23E6D">
        <w:rPr>
          <w:rFonts w:ascii="Times New Roman" w:hAnsi="Times New Roman" w:cs="Times New Roman"/>
          <w:lang w:bidi="ar-SA"/>
        </w:rPr>
        <w:t>”</w:t>
      </w:r>
      <w:r w:rsidR="00583C2D" w:rsidRPr="00F23E6D">
        <w:rPr>
          <w:rFonts w:ascii="Times New Roman" w:hAnsi="Times New Roman" w:cs="Times New Roman"/>
          <w:lang w:bidi="ar-SA"/>
        </w:rPr>
        <w:t xml:space="preserve"> (IEA, 2014, p. E-10).</w:t>
      </w:r>
    </w:p>
    <w:p w14:paraId="1FD22F0E" w14:textId="77777777" w:rsidR="003552D5" w:rsidRPr="00F23E6D" w:rsidRDefault="003552D5" w:rsidP="00A72615">
      <w:pPr>
        <w:spacing w:line="276" w:lineRule="auto"/>
        <w:rPr>
          <w:rFonts w:ascii="Times New Roman" w:hAnsi="Times New Roman" w:cs="Times New Roman"/>
          <w:lang w:bidi="ar-SA"/>
        </w:rPr>
      </w:pPr>
    </w:p>
    <w:p w14:paraId="38C39E46" w14:textId="7D3EFB44" w:rsidR="003552D5" w:rsidRPr="00F23E6D" w:rsidRDefault="003552D5" w:rsidP="00A72615">
      <w:pPr>
        <w:pStyle w:val="ListParagraph"/>
        <w:spacing w:line="276" w:lineRule="auto"/>
        <w:rPr>
          <w:rFonts w:ascii="Times New Roman" w:hAnsi="Times New Roman" w:cs="Times New Roman"/>
          <w:lang w:bidi="ar-SA"/>
        </w:rPr>
      </w:pPr>
      <w:r w:rsidRPr="00F23E6D">
        <w:rPr>
          <w:rFonts w:ascii="Times New Roman" w:hAnsi="Times New Roman" w:cs="Times New Roman"/>
          <w:lang w:bidi="ar-SA"/>
        </w:rPr>
        <w:t xml:space="preserve">For the industrial sector, the High Demand Technology case assumes </w:t>
      </w:r>
      <w:r w:rsidR="00862F52" w:rsidRPr="00F23E6D">
        <w:rPr>
          <w:rFonts w:ascii="Times New Roman" w:hAnsi="Times New Roman" w:cs="Times New Roman"/>
          <w:lang w:bidi="ar-SA"/>
        </w:rPr>
        <w:t>“</w:t>
      </w:r>
      <w:r w:rsidRPr="00F23E6D">
        <w:rPr>
          <w:rFonts w:ascii="Times New Roman" w:hAnsi="Times New Roman" w:cs="Times New Roman"/>
          <w:lang w:bidi="ar-SA"/>
        </w:rPr>
        <w:t>earlier availability, lower costs, and higher efficiency for</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 xml:space="preserve">more advanced equipment </w:t>
      </w:r>
      <w:r w:rsidR="004D10D5" w:rsidRPr="00F23E6D">
        <w:rPr>
          <w:rFonts w:ascii="Times New Roman" w:hAnsi="Times New Roman" w:cs="Times New Roman"/>
          <w:lang w:bidi="ar-SA"/>
        </w:rPr>
        <w:t xml:space="preserve">(Navigant Consulting, Inc. with SAIC, 2012; FOCIS Associates, 2005) </w:t>
      </w:r>
      <w:r w:rsidRPr="00F23E6D">
        <w:rPr>
          <w:rFonts w:ascii="Times New Roman" w:hAnsi="Times New Roman" w:cs="Times New Roman"/>
          <w:lang w:bidi="ar-SA"/>
        </w:rPr>
        <w:t xml:space="preserve">and a more rapid rate of improvement in the recovery of biomass byproducts from industrial processes—i.e., 0.7%/year as compared with 0.4%/year in the Reference case. The same </w:t>
      </w:r>
      <w:r w:rsidR="00FB357D" w:rsidRPr="00F23E6D">
        <w:rPr>
          <w:rFonts w:ascii="Times New Roman" w:hAnsi="Times New Roman" w:cs="Times New Roman"/>
          <w:lang w:bidi="ar-SA"/>
        </w:rPr>
        <w:t xml:space="preserve">assumption is </w:t>
      </w:r>
      <w:r w:rsidRPr="00F23E6D">
        <w:rPr>
          <w:rFonts w:ascii="Times New Roman" w:hAnsi="Times New Roman" w:cs="Times New Roman"/>
          <w:lang w:bidi="ar-SA"/>
        </w:rPr>
        <w:t>incorporated in the</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Low Renewable Technology Cost case, which focuses on electricity generation. Although the choice of the 0.7% annual rate</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of improvement in byproduct recovery is an assumption in the High Demand Technology case, it is based on the expectation</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of higher recovery rates and substantially increased use of CHP in that case. Due to integration with other NEMS modules,</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potential feedback effects from energy market interactions are captured.</w:t>
      </w:r>
      <w:r w:rsidR="00862F52" w:rsidRPr="00F23E6D">
        <w:rPr>
          <w:rFonts w:ascii="Times New Roman" w:hAnsi="Times New Roman" w:cs="Times New Roman"/>
          <w:lang w:bidi="ar-SA"/>
        </w:rPr>
        <w:t>”</w:t>
      </w:r>
      <w:r w:rsidR="00583C2D" w:rsidRPr="00F23E6D">
        <w:rPr>
          <w:rFonts w:ascii="Times New Roman" w:hAnsi="Times New Roman" w:cs="Times New Roman"/>
          <w:lang w:bidi="ar-SA"/>
        </w:rPr>
        <w:t xml:space="preserve"> (IEA, 2014, p. E-10-11).</w:t>
      </w:r>
    </w:p>
    <w:p w14:paraId="6D7FBBA5" w14:textId="77777777" w:rsidR="00CD1A9B" w:rsidRPr="00F23E6D" w:rsidRDefault="00CD1A9B" w:rsidP="00A72615">
      <w:pPr>
        <w:spacing w:line="276" w:lineRule="auto"/>
        <w:rPr>
          <w:rFonts w:ascii="Times New Roman" w:hAnsi="Times New Roman" w:cs="Times New Roman"/>
          <w:lang w:bidi="ar-SA"/>
        </w:rPr>
      </w:pPr>
    </w:p>
    <w:p w14:paraId="2384978D" w14:textId="0EC75C89" w:rsidR="00862F52" w:rsidRPr="00F23E6D" w:rsidRDefault="003552D5" w:rsidP="00A72615">
      <w:pPr>
        <w:pStyle w:val="TextBody"/>
        <w:spacing w:line="276" w:lineRule="auto"/>
        <w:rPr>
          <w:rFonts w:ascii="Times New Roman" w:hAnsi="Times New Roman" w:cs="Times New Roman"/>
          <w:lang w:bidi="ar-SA"/>
        </w:rPr>
      </w:pPr>
      <w:r w:rsidRPr="00F23E6D">
        <w:rPr>
          <w:rFonts w:ascii="Times New Roman" w:hAnsi="Times New Roman" w:cs="Times New Roman"/>
          <w:lang w:bidi="ar-SA"/>
        </w:rPr>
        <w:t xml:space="preserve">We then add pieces </w:t>
      </w:r>
      <w:r w:rsidR="00862F52" w:rsidRPr="00F23E6D">
        <w:rPr>
          <w:rFonts w:ascii="Times New Roman" w:hAnsi="Times New Roman" w:cs="Times New Roman"/>
          <w:lang w:bidi="ar-SA"/>
        </w:rPr>
        <w:t xml:space="preserve">of software code </w:t>
      </w:r>
      <w:r w:rsidRPr="00F23E6D">
        <w:rPr>
          <w:rFonts w:ascii="Times New Roman" w:hAnsi="Times New Roman" w:cs="Times New Roman"/>
          <w:lang w:bidi="ar-SA"/>
        </w:rPr>
        <w:t xml:space="preserve">from </w:t>
      </w:r>
      <w:r w:rsidR="00862F52" w:rsidRPr="00F23E6D">
        <w:rPr>
          <w:rFonts w:ascii="Times New Roman" w:hAnsi="Times New Roman" w:cs="Times New Roman"/>
          <w:lang w:bidi="ar-SA"/>
        </w:rPr>
        <w:t xml:space="preserve">several other side cases as described </w:t>
      </w:r>
      <w:r w:rsidRPr="00F23E6D">
        <w:rPr>
          <w:rFonts w:ascii="Times New Roman" w:hAnsi="Times New Roman" w:cs="Times New Roman"/>
          <w:lang w:bidi="ar-SA"/>
        </w:rPr>
        <w:t>below:</w:t>
      </w:r>
    </w:p>
    <w:p w14:paraId="7EA30771" w14:textId="41B0BDC7" w:rsidR="00FB357D" w:rsidRPr="00F23E6D" w:rsidRDefault="00862F52" w:rsidP="00A72615">
      <w:pPr>
        <w:spacing w:line="276" w:lineRule="auto"/>
        <w:rPr>
          <w:rFonts w:ascii="Times New Roman" w:hAnsi="Times New Roman" w:cs="Times New Roman"/>
          <w:lang w:bidi="ar-SA"/>
        </w:rPr>
      </w:pPr>
      <w:r w:rsidRPr="00F23E6D">
        <w:rPr>
          <w:rFonts w:ascii="Times New Roman" w:hAnsi="Times New Roman" w:cs="Times New Roman"/>
          <w:lang w:bidi="ar-SA"/>
        </w:rPr>
        <w:t xml:space="preserve">From the </w:t>
      </w:r>
      <w:r w:rsidRPr="00F23E6D">
        <w:rPr>
          <w:rFonts w:ascii="Times New Roman" w:hAnsi="Times New Roman" w:cs="Times New Roman"/>
          <w:b/>
          <w:lang w:bidi="ar-SA"/>
        </w:rPr>
        <w:t>No Sunset</w:t>
      </w:r>
      <w:r w:rsidRPr="00F23E6D">
        <w:rPr>
          <w:rFonts w:ascii="Times New Roman" w:hAnsi="Times New Roman" w:cs="Times New Roman"/>
          <w:lang w:bidi="ar-SA"/>
        </w:rPr>
        <w:t xml:space="preserve"> case and </w:t>
      </w:r>
      <w:r w:rsidRPr="00F23E6D">
        <w:rPr>
          <w:rFonts w:ascii="Times New Roman" w:hAnsi="Times New Roman" w:cs="Times New Roman"/>
          <w:b/>
          <w:lang w:bidi="ar-SA"/>
        </w:rPr>
        <w:t>Extended Policies</w:t>
      </w:r>
      <w:r w:rsidRPr="00F23E6D">
        <w:rPr>
          <w:rFonts w:ascii="Times New Roman" w:hAnsi="Times New Roman" w:cs="Times New Roman"/>
          <w:lang w:bidi="ar-SA"/>
        </w:rPr>
        <w:t xml:space="preserve"> case, we include “an assumption for CHP that extends the existing ITC for industrial CHP</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through the end of the projection period.</w:t>
      </w:r>
      <w:r w:rsidR="0071347D" w:rsidRPr="00F23E6D">
        <w:rPr>
          <w:rFonts w:ascii="Times New Roman" w:hAnsi="Times New Roman" w:cs="Times New Roman"/>
          <w:lang w:bidi="ar-SA"/>
        </w:rPr>
        <w:t>”</w:t>
      </w:r>
      <w:r w:rsidRPr="00F23E6D">
        <w:rPr>
          <w:rFonts w:ascii="Times New Roman" w:hAnsi="Times New Roman" w:cs="Times New Roman"/>
          <w:lang w:bidi="ar-SA"/>
        </w:rPr>
        <w:t xml:space="preserve"> Additionally, the </w:t>
      </w:r>
      <w:r w:rsidRPr="00F23E6D">
        <w:rPr>
          <w:rFonts w:ascii="Times New Roman" w:hAnsi="Times New Roman" w:cs="Times New Roman"/>
          <w:b/>
          <w:lang w:bidi="ar-SA"/>
        </w:rPr>
        <w:t>Extended Policies</w:t>
      </w:r>
      <w:r w:rsidRPr="00F23E6D">
        <w:rPr>
          <w:rFonts w:ascii="Times New Roman" w:hAnsi="Times New Roman" w:cs="Times New Roman"/>
          <w:lang w:bidi="ar-SA"/>
        </w:rPr>
        <w:t xml:space="preserve"> case includes </w:t>
      </w:r>
      <w:r w:rsidR="007B73EA" w:rsidRPr="00F23E6D">
        <w:rPr>
          <w:rFonts w:ascii="Times New Roman" w:hAnsi="Times New Roman" w:cs="Times New Roman"/>
          <w:lang w:bidi="ar-SA"/>
        </w:rPr>
        <w:t>“</w:t>
      </w:r>
      <w:r w:rsidRPr="00F23E6D">
        <w:rPr>
          <w:rFonts w:ascii="Times New Roman" w:hAnsi="Times New Roman" w:cs="Times New Roman"/>
          <w:lang w:bidi="ar-SA"/>
        </w:rPr>
        <w:t>an increase in the capacity limitations</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on the ITC by increasing the cap on CHP equipment from 15 megawatts (MW) to 25 MW and eliminating the system-wide cap</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of 50 MW. These assumptions are based on the proposals made in H.R. 2750 and H.R. 2784 of the 112th Congress.”</w:t>
      </w:r>
      <w:r w:rsidR="007B73EA" w:rsidRPr="00F23E6D">
        <w:rPr>
          <w:rFonts w:ascii="Times New Roman" w:hAnsi="Times New Roman" w:cs="Times New Roman"/>
          <w:lang w:bidi="ar-SA"/>
        </w:rPr>
        <w:t xml:space="preserve"> (IEA, 2014, p. E-11</w:t>
      </w:r>
      <w:r w:rsidR="00583C2D" w:rsidRPr="00F23E6D">
        <w:rPr>
          <w:rFonts w:ascii="Times New Roman" w:hAnsi="Times New Roman" w:cs="Times New Roman"/>
          <w:lang w:bidi="ar-SA"/>
        </w:rPr>
        <w:t>).</w:t>
      </w:r>
      <w:r w:rsidR="00FB357D" w:rsidRPr="00F23E6D">
        <w:rPr>
          <w:rFonts w:ascii="Times New Roman" w:hAnsi="Times New Roman" w:cs="Times New Roman"/>
          <w:lang w:bidi="ar-SA"/>
        </w:rPr>
        <w:t xml:space="preserve"> </w:t>
      </w:r>
    </w:p>
    <w:p w14:paraId="695124B8" w14:textId="77777777" w:rsidR="00FB357D" w:rsidRPr="00F23E6D" w:rsidRDefault="00FB357D" w:rsidP="00A72615">
      <w:pPr>
        <w:spacing w:line="276" w:lineRule="auto"/>
        <w:rPr>
          <w:rFonts w:ascii="Times New Roman" w:hAnsi="Times New Roman" w:cs="Times New Roman"/>
          <w:lang w:bidi="ar-SA"/>
        </w:rPr>
      </w:pPr>
    </w:p>
    <w:p w14:paraId="6A1DA283" w14:textId="3336278B" w:rsidR="003552D5" w:rsidRPr="00F23E6D" w:rsidRDefault="00583C2D" w:rsidP="00A72615">
      <w:pPr>
        <w:spacing w:line="276" w:lineRule="auto"/>
        <w:rPr>
          <w:rFonts w:ascii="Times New Roman" w:hAnsi="Times New Roman" w:cs="Times New Roman"/>
          <w:lang w:bidi="ar-SA"/>
        </w:rPr>
      </w:pPr>
      <w:r w:rsidRPr="00F23E6D">
        <w:rPr>
          <w:rFonts w:ascii="Times New Roman" w:hAnsi="Times New Roman" w:cs="Times New Roman"/>
          <w:lang w:bidi="ar-SA"/>
        </w:rPr>
        <w:t xml:space="preserve">From the </w:t>
      </w:r>
      <w:r w:rsidRPr="00F23E6D">
        <w:rPr>
          <w:rFonts w:ascii="Times New Roman" w:hAnsi="Times New Roman" w:cs="Times New Roman"/>
          <w:b/>
          <w:lang w:bidi="ar-SA"/>
        </w:rPr>
        <w:t xml:space="preserve">Low Renewable Technology Cost </w:t>
      </w:r>
      <w:r w:rsidRPr="00F23E6D">
        <w:rPr>
          <w:rFonts w:ascii="Times New Roman" w:hAnsi="Times New Roman" w:cs="Times New Roman"/>
          <w:lang w:bidi="ar-SA"/>
        </w:rPr>
        <w:t xml:space="preserve">side case we assume that “biomass </w:t>
      </w:r>
      <w:proofErr w:type="spellStart"/>
      <w:r w:rsidRPr="00F23E6D">
        <w:rPr>
          <w:rFonts w:ascii="Times New Roman" w:hAnsi="Times New Roman" w:cs="Times New Roman"/>
          <w:lang w:bidi="ar-SA"/>
        </w:rPr>
        <w:t>feedstocks</w:t>
      </w:r>
      <w:proofErr w:type="spellEnd"/>
      <w:r w:rsidR="00FB357D" w:rsidRPr="00F23E6D">
        <w:rPr>
          <w:rFonts w:ascii="Times New Roman" w:hAnsi="Times New Roman" w:cs="Times New Roman"/>
          <w:lang w:bidi="ar-SA"/>
        </w:rPr>
        <w:t xml:space="preserve"> </w:t>
      </w:r>
      <w:r w:rsidRPr="00F23E6D">
        <w:rPr>
          <w:rFonts w:ascii="Times New Roman" w:hAnsi="Times New Roman" w:cs="Times New Roman"/>
          <w:lang w:bidi="ar-SA"/>
        </w:rPr>
        <w:t>are 20% less expensive for a given resource quantity… and the industrial sector</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assumes a higher rate of recovery for biomass byproducts from industrial</w:t>
      </w:r>
      <w:r w:rsidR="00FB357D" w:rsidRPr="00F23E6D">
        <w:rPr>
          <w:rFonts w:ascii="Times New Roman" w:hAnsi="Times New Roman" w:cs="Times New Roman"/>
          <w:lang w:bidi="ar-SA"/>
        </w:rPr>
        <w:t xml:space="preserve"> </w:t>
      </w:r>
      <w:r w:rsidRPr="00F23E6D">
        <w:rPr>
          <w:rFonts w:ascii="Times New Roman" w:hAnsi="Times New Roman" w:cs="Times New Roman"/>
          <w:lang w:bidi="ar-SA"/>
        </w:rPr>
        <w:t>processes.” (IEA, 2014, p. E-6).</w:t>
      </w:r>
    </w:p>
    <w:p w14:paraId="6EF2C873" w14:textId="77777777" w:rsidR="00A63FB2" w:rsidRPr="00F23E6D" w:rsidRDefault="00A63FB2" w:rsidP="00A72615">
      <w:pPr>
        <w:spacing w:line="276" w:lineRule="auto"/>
        <w:rPr>
          <w:rFonts w:ascii="Times New Roman" w:hAnsi="Times New Roman" w:cs="Times New Roman"/>
          <w:lang w:bidi="ar-SA"/>
        </w:rPr>
      </w:pPr>
    </w:p>
    <w:p w14:paraId="5650597B" w14:textId="67583C39" w:rsidR="00A63FB2" w:rsidRPr="00F23E6D" w:rsidRDefault="00A63FB2" w:rsidP="00A72615">
      <w:pPr>
        <w:spacing w:line="276" w:lineRule="auto"/>
        <w:rPr>
          <w:rFonts w:ascii="Times New Roman" w:hAnsi="Times New Roman" w:cs="Times New Roman"/>
          <w:lang w:bidi="ar-SA"/>
        </w:rPr>
      </w:pPr>
      <w:r w:rsidRPr="00F23E6D">
        <w:rPr>
          <w:rFonts w:ascii="Times New Roman" w:hAnsi="Times New Roman" w:cs="Times New Roman"/>
          <w:lang w:bidi="ar-SA"/>
        </w:rPr>
        <w:t>Additional modifications were made to create the integrated efficiency scenario. The following sections describe how these assumptions are used to model a set of policy initiatives aimed at fostering greater energy efficiency in the U.S. energy end-use system.</w:t>
      </w:r>
    </w:p>
    <w:p w14:paraId="6F428858" w14:textId="77777777" w:rsidR="00833D77" w:rsidRPr="00F23E6D" w:rsidRDefault="00F641D6" w:rsidP="00A72615">
      <w:pPr>
        <w:pStyle w:val="Heading2"/>
        <w:spacing w:line="276" w:lineRule="auto"/>
        <w:rPr>
          <w:rFonts w:ascii="Times New Roman" w:hAnsi="Times New Roman" w:cs="Times New Roman"/>
          <w:sz w:val="24"/>
          <w:szCs w:val="24"/>
        </w:rPr>
      </w:pPr>
      <w:r w:rsidRPr="00F23E6D">
        <w:rPr>
          <w:rFonts w:ascii="Times New Roman" w:hAnsi="Times New Roman" w:cs="Times New Roman"/>
          <w:sz w:val="24"/>
          <w:szCs w:val="24"/>
        </w:rPr>
        <w:t xml:space="preserve">Residential Appliance Standards </w:t>
      </w:r>
    </w:p>
    <w:p w14:paraId="6176120C" w14:textId="665EB397" w:rsidR="00C278E1" w:rsidRPr="000352BD" w:rsidRDefault="003F493B" w:rsidP="00A72615">
      <w:pPr>
        <w:suppressAutoHyphens w:val="0"/>
        <w:autoSpaceDE w:val="0"/>
        <w:autoSpaceDN w:val="0"/>
        <w:adjustRightInd w:val="0"/>
        <w:spacing w:line="276" w:lineRule="auto"/>
        <w:rPr>
          <w:rFonts w:ascii="Times" w:hAnsi="Times" w:cs="Times"/>
          <w:color w:val="101010"/>
          <w:lang w:bidi="ar-SA"/>
        </w:rPr>
      </w:pPr>
      <w:r w:rsidRPr="000352BD">
        <w:rPr>
          <w:rFonts w:ascii="Times New Roman" w:hAnsi="Times New Roman" w:cs="Times New Roman"/>
        </w:rPr>
        <w:t>This</w:t>
      </w:r>
      <w:r w:rsidR="004D2322" w:rsidRPr="000352BD">
        <w:rPr>
          <w:rFonts w:ascii="Times New Roman" w:hAnsi="Times New Roman" w:cs="Times New Roman"/>
        </w:rPr>
        <w:t xml:space="preserve"> set of </w:t>
      </w:r>
      <w:r w:rsidR="000E49E3" w:rsidRPr="000352BD">
        <w:rPr>
          <w:rFonts w:ascii="Times New Roman" w:hAnsi="Times New Roman" w:cs="Times New Roman"/>
        </w:rPr>
        <w:t xml:space="preserve">residential appliance standards </w:t>
      </w:r>
      <w:r w:rsidR="004D2322" w:rsidRPr="000352BD">
        <w:rPr>
          <w:rFonts w:ascii="Times New Roman" w:hAnsi="Times New Roman" w:cs="Times New Roman"/>
        </w:rPr>
        <w:t>was modeled as follows</w:t>
      </w:r>
      <w:r w:rsidR="00344AFD" w:rsidRPr="000352BD">
        <w:rPr>
          <w:rFonts w:ascii="Times New Roman" w:hAnsi="Times New Roman" w:cs="Times New Roman"/>
        </w:rPr>
        <w:t xml:space="preserve">, using specifications in the </w:t>
      </w:r>
      <w:r w:rsidR="004735FA" w:rsidRPr="000352BD">
        <w:rPr>
          <w:rFonts w:ascii="Times New Roman" w:hAnsi="Times New Roman" w:cs="Times New Roman"/>
          <w:color w:val="02152C"/>
          <w:u w:color="02152C"/>
          <w:lang w:bidi="ar-SA"/>
        </w:rPr>
        <w:t>scedes.all.wri.as+bc.txt</w:t>
      </w:r>
      <w:r w:rsidR="004735FA" w:rsidRPr="000352BD">
        <w:rPr>
          <w:rFonts w:ascii="Times New Roman" w:hAnsi="Times New Roman" w:cs="Times New Roman"/>
          <w:color w:val="02152C"/>
          <w:u w:val="single" w:color="02152C"/>
          <w:lang w:bidi="ar-SA"/>
        </w:rPr>
        <w:t xml:space="preserve"> </w:t>
      </w:r>
      <w:proofErr w:type="spellStart"/>
      <w:r w:rsidR="00344AFD" w:rsidRPr="000352BD">
        <w:rPr>
          <w:rFonts w:ascii="Times New Roman" w:hAnsi="Times New Roman" w:cs="Times New Roman"/>
        </w:rPr>
        <w:t>scedes</w:t>
      </w:r>
      <w:proofErr w:type="spellEnd"/>
      <w:r w:rsidR="00344AFD" w:rsidRPr="000352BD">
        <w:rPr>
          <w:rFonts w:ascii="Times New Roman" w:hAnsi="Times New Roman" w:cs="Times New Roman"/>
        </w:rPr>
        <w:t xml:space="preserve"> file</w:t>
      </w:r>
      <w:r w:rsidR="000352BD" w:rsidRPr="000352BD">
        <w:rPr>
          <w:rFonts w:ascii="Times New Roman" w:hAnsi="Times New Roman" w:cs="Times New Roman"/>
        </w:rPr>
        <w:t xml:space="preserve">. These specifications come from the WRI report: </w:t>
      </w:r>
      <w:r w:rsidR="000352BD" w:rsidRPr="000352BD">
        <w:rPr>
          <w:rFonts w:ascii="Times" w:hAnsi="Times" w:cs="Times"/>
          <w:i/>
          <w:color w:val="101010"/>
          <w:lang w:bidi="ar-SA"/>
        </w:rPr>
        <w:t xml:space="preserve">Can the U.S. Get There from Here? </w:t>
      </w:r>
      <w:r w:rsidR="000352BD" w:rsidRPr="000352BD">
        <w:rPr>
          <w:rFonts w:ascii="Times" w:hAnsi="Times" w:cs="Times"/>
          <w:i/>
          <w:color w:val="1F1F1F"/>
          <w:lang w:bidi="ar-SA"/>
        </w:rPr>
        <w:t>Using Existing Federal Laws and State Action to Reduce Greenhouse Gas Emissions</w:t>
      </w:r>
      <w:r w:rsidR="000352BD" w:rsidRPr="000352BD">
        <w:rPr>
          <w:rFonts w:ascii="Times" w:hAnsi="Times" w:cs="Times"/>
          <w:color w:val="1F1F1F"/>
          <w:lang w:bidi="ar-SA"/>
        </w:rPr>
        <w:t xml:space="preserve"> (</w:t>
      </w:r>
      <w:r w:rsidR="000352BD" w:rsidRPr="000352BD">
        <w:rPr>
          <w:rFonts w:ascii="Times" w:hAnsi="Times" w:cs="Times" w:hint="eastAsia"/>
          <w:color w:val="1F1F1F"/>
          <w:lang w:bidi="ar-SA"/>
        </w:rPr>
        <w:t>http://www.wri.org/publication/can-us-get-there-here</w:t>
      </w:r>
      <w:r w:rsidR="000352BD" w:rsidRPr="000352BD">
        <w:rPr>
          <w:rFonts w:ascii="Times" w:hAnsi="Times" w:cs="Times"/>
          <w:color w:val="1F1F1F"/>
          <w:lang w:bidi="ar-SA"/>
        </w:rPr>
        <w:t>).</w:t>
      </w:r>
    </w:p>
    <w:tbl>
      <w:tblPr>
        <w:tblStyle w:val="PlainTable2"/>
        <w:tblW w:w="10519" w:type="dxa"/>
        <w:tblLayout w:type="fixed"/>
        <w:tblLook w:val="04A0" w:firstRow="1" w:lastRow="0" w:firstColumn="1" w:lastColumn="0" w:noHBand="0" w:noVBand="1"/>
      </w:tblPr>
      <w:tblGrid>
        <w:gridCol w:w="1908"/>
        <w:gridCol w:w="1440"/>
        <w:gridCol w:w="1620"/>
        <w:gridCol w:w="1530"/>
        <w:gridCol w:w="1710"/>
        <w:gridCol w:w="2311"/>
      </w:tblGrid>
      <w:tr w:rsidR="007E736D" w:rsidRPr="00F23E6D" w14:paraId="3D5E2E43" w14:textId="77777777" w:rsidTr="007E736D">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bottom"/>
            <w:hideMark/>
          </w:tcPr>
          <w:p w14:paraId="441752E0" w14:textId="7395943D" w:rsidR="003E109A" w:rsidRPr="007E736D" w:rsidRDefault="003E109A" w:rsidP="007E736D">
            <w:pPr>
              <w:spacing w:line="276" w:lineRule="auto"/>
              <w:rPr>
                <w:rFonts w:ascii="Times New Roman" w:eastAsia="Times New Roman" w:hAnsi="Times New Roman" w:cs="Times New Roman"/>
                <w:lang w:eastAsia="en-US" w:bidi="ar-SA"/>
              </w:rPr>
            </w:pPr>
            <w:r w:rsidRPr="007E736D">
              <w:rPr>
                <w:rFonts w:ascii="Times New Roman" w:eastAsia="Times New Roman" w:hAnsi="Times New Roman" w:cs="Times New Roman"/>
                <w:lang w:eastAsia="en-US" w:bidi="ar-SA"/>
              </w:rPr>
              <w:lastRenderedPageBreak/>
              <w:t>Residential Appliances</w:t>
            </w:r>
          </w:p>
        </w:tc>
        <w:tc>
          <w:tcPr>
            <w:tcW w:w="1440" w:type="dxa"/>
            <w:shd w:val="clear" w:color="auto" w:fill="D9D9D9" w:themeFill="background1" w:themeFillShade="D9"/>
            <w:vAlign w:val="bottom"/>
            <w:hideMark/>
          </w:tcPr>
          <w:p w14:paraId="4DD334D7" w14:textId="77777777" w:rsidR="003F493B" w:rsidRPr="007E736D" w:rsidRDefault="003F493B" w:rsidP="007E73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7E736D">
              <w:rPr>
                <w:rFonts w:ascii="Times New Roman" w:eastAsia="Times New Roman" w:hAnsi="Times New Roman" w:cs="Times New Roman"/>
                <w:lang w:eastAsia="en-US" w:bidi="ar-SA"/>
              </w:rPr>
              <w:t>1st standard year</w:t>
            </w:r>
          </w:p>
        </w:tc>
        <w:tc>
          <w:tcPr>
            <w:tcW w:w="1620" w:type="dxa"/>
            <w:shd w:val="clear" w:color="auto" w:fill="D9D9D9" w:themeFill="background1" w:themeFillShade="D9"/>
            <w:vAlign w:val="bottom"/>
            <w:hideMark/>
          </w:tcPr>
          <w:p w14:paraId="3A9EF14D" w14:textId="1B324E0A" w:rsidR="003F493B" w:rsidRPr="007E736D" w:rsidRDefault="003F493B" w:rsidP="007E73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7E736D">
              <w:rPr>
                <w:rFonts w:ascii="Times New Roman" w:eastAsia="Times New Roman" w:hAnsi="Times New Roman" w:cs="Times New Roman"/>
                <w:lang w:eastAsia="en-US" w:bidi="ar-SA"/>
              </w:rPr>
              <w:t>% improvement relative to base</w:t>
            </w:r>
            <w:r w:rsidR="004A2AA6" w:rsidRPr="007E736D">
              <w:rPr>
                <w:rFonts w:ascii="Times New Roman" w:eastAsia="Times New Roman" w:hAnsi="Times New Roman" w:cs="Times New Roman"/>
                <w:lang w:eastAsia="en-US" w:bidi="ar-SA"/>
              </w:rPr>
              <w:t>*</w:t>
            </w:r>
          </w:p>
        </w:tc>
        <w:tc>
          <w:tcPr>
            <w:tcW w:w="1530" w:type="dxa"/>
            <w:shd w:val="clear" w:color="auto" w:fill="D9D9D9" w:themeFill="background1" w:themeFillShade="D9"/>
            <w:vAlign w:val="bottom"/>
            <w:hideMark/>
          </w:tcPr>
          <w:p w14:paraId="7E9BDE9A" w14:textId="77777777" w:rsidR="003F493B" w:rsidRPr="007E736D" w:rsidRDefault="003F493B" w:rsidP="007E73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7E736D">
              <w:rPr>
                <w:rFonts w:ascii="Times New Roman" w:eastAsia="Times New Roman" w:hAnsi="Times New Roman" w:cs="Times New Roman"/>
                <w:lang w:eastAsia="en-US" w:bidi="ar-SA"/>
              </w:rPr>
              <w:t>2nd standard year</w:t>
            </w:r>
          </w:p>
        </w:tc>
        <w:tc>
          <w:tcPr>
            <w:tcW w:w="1710" w:type="dxa"/>
            <w:shd w:val="clear" w:color="auto" w:fill="D9D9D9" w:themeFill="background1" w:themeFillShade="D9"/>
            <w:vAlign w:val="bottom"/>
            <w:hideMark/>
          </w:tcPr>
          <w:p w14:paraId="3CB7ACA9" w14:textId="5D0B4C01" w:rsidR="003F493B" w:rsidRPr="007E736D" w:rsidRDefault="003F493B" w:rsidP="007E73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7E736D">
              <w:rPr>
                <w:rFonts w:ascii="Times New Roman" w:eastAsia="Times New Roman" w:hAnsi="Times New Roman" w:cs="Times New Roman"/>
                <w:lang w:eastAsia="en-US" w:bidi="ar-SA"/>
              </w:rPr>
              <w:t>% improvement relative to base</w:t>
            </w:r>
            <w:r w:rsidR="0089538B" w:rsidRPr="007E736D">
              <w:rPr>
                <w:rFonts w:ascii="Times New Roman" w:eastAsia="Times New Roman" w:hAnsi="Times New Roman" w:cs="Times New Roman"/>
                <w:lang w:eastAsia="en-US" w:bidi="ar-SA"/>
              </w:rPr>
              <w:t xml:space="preserve"> case</w:t>
            </w:r>
          </w:p>
        </w:tc>
        <w:tc>
          <w:tcPr>
            <w:tcW w:w="2311" w:type="dxa"/>
            <w:shd w:val="clear" w:color="auto" w:fill="D9D9D9" w:themeFill="background1" w:themeFillShade="D9"/>
            <w:vAlign w:val="bottom"/>
            <w:hideMark/>
          </w:tcPr>
          <w:p w14:paraId="6D67ACD4" w14:textId="0B908EC4" w:rsidR="003F493B" w:rsidRPr="007E736D" w:rsidRDefault="003F493B" w:rsidP="007E73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7E736D">
              <w:rPr>
                <w:rFonts w:ascii="Times New Roman" w:eastAsia="Times New Roman" w:hAnsi="Times New Roman" w:cs="Times New Roman"/>
                <w:lang w:eastAsia="en-US" w:bidi="ar-SA"/>
              </w:rPr>
              <w:t xml:space="preserve">Cost increase (%  relative to appliance cost in </w:t>
            </w:r>
            <w:r w:rsidR="00057733" w:rsidRPr="007E736D">
              <w:rPr>
                <w:rFonts w:ascii="Times New Roman" w:eastAsia="Times New Roman" w:hAnsi="Times New Roman" w:cs="Times New Roman"/>
                <w:lang w:eastAsia="en-US" w:bidi="ar-SA"/>
              </w:rPr>
              <w:t>High Demand Tech</w:t>
            </w:r>
            <w:r w:rsidR="0089538B" w:rsidRPr="007E736D">
              <w:rPr>
                <w:rFonts w:ascii="Times New Roman" w:eastAsia="Times New Roman" w:hAnsi="Times New Roman" w:cs="Times New Roman"/>
                <w:lang w:eastAsia="en-US" w:bidi="ar-SA"/>
              </w:rPr>
              <w:t xml:space="preserve"> case</w:t>
            </w:r>
            <w:r w:rsidRPr="007E736D">
              <w:rPr>
                <w:rFonts w:ascii="Times New Roman" w:eastAsia="Times New Roman" w:hAnsi="Times New Roman" w:cs="Times New Roman"/>
                <w:lang w:eastAsia="en-US" w:bidi="ar-SA"/>
              </w:rPr>
              <w:t>)</w:t>
            </w:r>
          </w:p>
        </w:tc>
      </w:tr>
      <w:tr w:rsidR="003F493B" w:rsidRPr="00F23E6D" w14:paraId="2328DD78"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612193E2"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Dishwasher</w:t>
            </w:r>
          </w:p>
        </w:tc>
        <w:tc>
          <w:tcPr>
            <w:tcW w:w="6300" w:type="dxa"/>
            <w:gridSpan w:val="4"/>
            <w:noWrap/>
            <w:vAlign w:val="bottom"/>
            <w:hideMark/>
          </w:tcPr>
          <w:p w14:paraId="6033333F"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2741D22D"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3F493B" w:rsidRPr="00F23E6D" w14:paraId="04270762"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71C50541"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Clothes washer</w:t>
            </w:r>
          </w:p>
        </w:tc>
        <w:tc>
          <w:tcPr>
            <w:tcW w:w="6300" w:type="dxa"/>
            <w:gridSpan w:val="4"/>
            <w:noWrap/>
            <w:vAlign w:val="bottom"/>
            <w:hideMark/>
          </w:tcPr>
          <w:p w14:paraId="2E678573"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547769EA"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3F493B" w:rsidRPr="00F23E6D" w14:paraId="0E397D2A"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6852F81E"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Clothes dryer</w:t>
            </w:r>
          </w:p>
        </w:tc>
        <w:tc>
          <w:tcPr>
            <w:tcW w:w="6300" w:type="dxa"/>
            <w:gridSpan w:val="4"/>
            <w:noWrap/>
            <w:vAlign w:val="bottom"/>
            <w:hideMark/>
          </w:tcPr>
          <w:p w14:paraId="5205759B"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367DABED"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3F493B" w:rsidRPr="00F23E6D" w14:paraId="086A64BF"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4E837479"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Range/oven</w:t>
            </w:r>
          </w:p>
        </w:tc>
        <w:tc>
          <w:tcPr>
            <w:tcW w:w="6300" w:type="dxa"/>
            <w:gridSpan w:val="4"/>
            <w:noWrap/>
            <w:vAlign w:val="bottom"/>
            <w:hideMark/>
          </w:tcPr>
          <w:p w14:paraId="241812FC"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4A9D1CE5"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4FB965FD"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74A7A7E9"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Microwave</w:t>
            </w:r>
          </w:p>
        </w:tc>
        <w:tc>
          <w:tcPr>
            <w:tcW w:w="1440" w:type="dxa"/>
            <w:noWrap/>
            <w:vAlign w:val="bottom"/>
            <w:hideMark/>
          </w:tcPr>
          <w:p w14:paraId="5EE17C25"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2018</w:t>
            </w:r>
          </w:p>
        </w:tc>
        <w:tc>
          <w:tcPr>
            <w:tcW w:w="1620" w:type="dxa"/>
            <w:noWrap/>
            <w:vAlign w:val="bottom"/>
            <w:hideMark/>
          </w:tcPr>
          <w:p w14:paraId="0B6483DE"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15%</w:t>
            </w:r>
          </w:p>
        </w:tc>
        <w:tc>
          <w:tcPr>
            <w:tcW w:w="1530" w:type="dxa"/>
            <w:noWrap/>
            <w:vAlign w:val="bottom"/>
            <w:hideMark/>
          </w:tcPr>
          <w:p w14:paraId="2A2388C2"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c>
          <w:tcPr>
            <w:tcW w:w="1710" w:type="dxa"/>
            <w:noWrap/>
            <w:vAlign w:val="bottom"/>
            <w:hideMark/>
          </w:tcPr>
          <w:p w14:paraId="30423B4A"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c>
          <w:tcPr>
            <w:tcW w:w="2311" w:type="dxa"/>
            <w:noWrap/>
            <w:vAlign w:val="bottom"/>
            <w:hideMark/>
          </w:tcPr>
          <w:p w14:paraId="77E9644A"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381C9199"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168A8589"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Furnace fan</w:t>
            </w:r>
          </w:p>
        </w:tc>
        <w:tc>
          <w:tcPr>
            <w:tcW w:w="1440" w:type="dxa"/>
            <w:noWrap/>
            <w:vAlign w:val="bottom"/>
            <w:hideMark/>
          </w:tcPr>
          <w:p w14:paraId="5B319E74"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2016</w:t>
            </w:r>
          </w:p>
        </w:tc>
        <w:tc>
          <w:tcPr>
            <w:tcW w:w="1620" w:type="dxa"/>
            <w:noWrap/>
            <w:vAlign w:val="bottom"/>
            <w:hideMark/>
          </w:tcPr>
          <w:p w14:paraId="19989F23"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30%</w:t>
            </w:r>
          </w:p>
        </w:tc>
        <w:tc>
          <w:tcPr>
            <w:tcW w:w="1530" w:type="dxa"/>
            <w:noWrap/>
            <w:vAlign w:val="bottom"/>
            <w:hideMark/>
          </w:tcPr>
          <w:p w14:paraId="0F1DB0C6"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2021</w:t>
            </w:r>
          </w:p>
        </w:tc>
        <w:tc>
          <w:tcPr>
            <w:tcW w:w="1710" w:type="dxa"/>
            <w:noWrap/>
            <w:vAlign w:val="bottom"/>
            <w:hideMark/>
          </w:tcPr>
          <w:p w14:paraId="0113521B"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40%</w:t>
            </w:r>
          </w:p>
        </w:tc>
        <w:tc>
          <w:tcPr>
            <w:tcW w:w="2311" w:type="dxa"/>
            <w:noWrap/>
            <w:vAlign w:val="bottom"/>
            <w:hideMark/>
          </w:tcPr>
          <w:p w14:paraId="5D4195CC"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3F493B" w:rsidRPr="00F23E6D" w14:paraId="5FC93DFC"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3B0A5B65"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Central AC</w:t>
            </w:r>
          </w:p>
        </w:tc>
        <w:tc>
          <w:tcPr>
            <w:tcW w:w="6300" w:type="dxa"/>
            <w:gridSpan w:val="4"/>
            <w:noWrap/>
            <w:vAlign w:val="bottom"/>
            <w:hideMark/>
          </w:tcPr>
          <w:p w14:paraId="1761101B"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01B38A31"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0233AB5D"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465BD1A1"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Room AC</w:t>
            </w:r>
          </w:p>
        </w:tc>
        <w:tc>
          <w:tcPr>
            <w:tcW w:w="1440" w:type="dxa"/>
            <w:noWrap/>
            <w:vAlign w:val="bottom"/>
            <w:hideMark/>
          </w:tcPr>
          <w:p w14:paraId="4B85D93E"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2014</w:t>
            </w:r>
          </w:p>
        </w:tc>
        <w:tc>
          <w:tcPr>
            <w:tcW w:w="1620" w:type="dxa"/>
            <w:noWrap/>
            <w:vAlign w:val="bottom"/>
            <w:hideMark/>
          </w:tcPr>
          <w:p w14:paraId="68EBEB80"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12%</w:t>
            </w:r>
          </w:p>
        </w:tc>
        <w:tc>
          <w:tcPr>
            <w:tcW w:w="1530" w:type="dxa"/>
            <w:noWrap/>
            <w:vAlign w:val="bottom"/>
            <w:hideMark/>
          </w:tcPr>
          <w:p w14:paraId="3DB66E62"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2022</w:t>
            </w:r>
          </w:p>
        </w:tc>
        <w:tc>
          <w:tcPr>
            <w:tcW w:w="1710" w:type="dxa"/>
            <w:noWrap/>
            <w:vAlign w:val="bottom"/>
            <w:hideMark/>
          </w:tcPr>
          <w:p w14:paraId="1AB57A20"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28%</w:t>
            </w:r>
          </w:p>
        </w:tc>
        <w:tc>
          <w:tcPr>
            <w:tcW w:w="2311" w:type="dxa"/>
            <w:noWrap/>
            <w:vAlign w:val="bottom"/>
            <w:hideMark/>
          </w:tcPr>
          <w:p w14:paraId="3F1ACCE8"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47%</w:t>
            </w:r>
          </w:p>
        </w:tc>
      </w:tr>
      <w:tr w:rsidR="003F493B" w:rsidRPr="00F23E6D" w14:paraId="617E779C"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1341C26A"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Heat pump</w:t>
            </w:r>
          </w:p>
        </w:tc>
        <w:tc>
          <w:tcPr>
            <w:tcW w:w="6300" w:type="dxa"/>
            <w:gridSpan w:val="4"/>
            <w:noWrap/>
            <w:vAlign w:val="bottom"/>
            <w:hideMark/>
          </w:tcPr>
          <w:p w14:paraId="5CCC15C1"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1C6B7544"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3F493B" w:rsidRPr="00F23E6D" w14:paraId="7E896006"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4BBF8791"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Water heater</w:t>
            </w:r>
          </w:p>
        </w:tc>
        <w:tc>
          <w:tcPr>
            <w:tcW w:w="6300" w:type="dxa"/>
            <w:gridSpan w:val="4"/>
            <w:noWrap/>
            <w:vAlign w:val="bottom"/>
            <w:hideMark/>
          </w:tcPr>
          <w:p w14:paraId="0DC0B519"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34F03761"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60024C32"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7735B392"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Refrigerator</w:t>
            </w:r>
          </w:p>
        </w:tc>
        <w:tc>
          <w:tcPr>
            <w:tcW w:w="1440" w:type="dxa"/>
            <w:noWrap/>
            <w:vAlign w:val="bottom"/>
            <w:hideMark/>
          </w:tcPr>
          <w:p w14:paraId="6236EFBC"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2014</w:t>
            </w:r>
          </w:p>
        </w:tc>
        <w:tc>
          <w:tcPr>
            <w:tcW w:w="1620" w:type="dxa"/>
            <w:noWrap/>
            <w:vAlign w:val="bottom"/>
            <w:hideMark/>
          </w:tcPr>
          <w:p w14:paraId="7097D756"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25%</w:t>
            </w:r>
          </w:p>
        </w:tc>
        <w:tc>
          <w:tcPr>
            <w:tcW w:w="1530" w:type="dxa"/>
            <w:noWrap/>
            <w:vAlign w:val="bottom"/>
            <w:hideMark/>
          </w:tcPr>
          <w:p w14:paraId="0C2CE87E"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2020</w:t>
            </w:r>
          </w:p>
        </w:tc>
        <w:tc>
          <w:tcPr>
            <w:tcW w:w="1710" w:type="dxa"/>
            <w:noWrap/>
            <w:vAlign w:val="bottom"/>
            <w:hideMark/>
          </w:tcPr>
          <w:p w14:paraId="31DFF321"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40%</w:t>
            </w:r>
          </w:p>
        </w:tc>
        <w:tc>
          <w:tcPr>
            <w:tcW w:w="2311" w:type="dxa"/>
            <w:noWrap/>
            <w:vAlign w:val="bottom"/>
            <w:hideMark/>
          </w:tcPr>
          <w:p w14:paraId="777F0C28"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50%</w:t>
            </w:r>
          </w:p>
        </w:tc>
      </w:tr>
      <w:tr w:rsidR="007E736D" w:rsidRPr="00F23E6D" w14:paraId="075557E7"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53320922"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Freezer</w:t>
            </w:r>
          </w:p>
        </w:tc>
        <w:tc>
          <w:tcPr>
            <w:tcW w:w="1440" w:type="dxa"/>
            <w:noWrap/>
            <w:vAlign w:val="bottom"/>
            <w:hideMark/>
          </w:tcPr>
          <w:p w14:paraId="41953791"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2014</w:t>
            </w:r>
          </w:p>
        </w:tc>
        <w:tc>
          <w:tcPr>
            <w:tcW w:w="1620" w:type="dxa"/>
            <w:noWrap/>
            <w:vAlign w:val="bottom"/>
            <w:hideMark/>
          </w:tcPr>
          <w:p w14:paraId="148183D4"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25%</w:t>
            </w:r>
          </w:p>
        </w:tc>
        <w:tc>
          <w:tcPr>
            <w:tcW w:w="1530" w:type="dxa"/>
            <w:noWrap/>
            <w:vAlign w:val="bottom"/>
            <w:hideMark/>
          </w:tcPr>
          <w:p w14:paraId="47AB20CD"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2020</w:t>
            </w:r>
          </w:p>
        </w:tc>
        <w:tc>
          <w:tcPr>
            <w:tcW w:w="1710" w:type="dxa"/>
            <w:noWrap/>
            <w:vAlign w:val="bottom"/>
            <w:hideMark/>
          </w:tcPr>
          <w:p w14:paraId="0B162893"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40%</w:t>
            </w:r>
          </w:p>
        </w:tc>
        <w:tc>
          <w:tcPr>
            <w:tcW w:w="2311" w:type="dxa"/>
            <w:noWrap/>
            <w:vAlign w:val="bottom"/>
            <w:hideMark/>
          </w:tcPr>
          <w:p w14:paraId="6C1F498B"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50%</w:t>
            </w:r>
          </w:p>
        </w:tc>
      </w:tr>
      <w:tr w:rsidR="007E736D" w:rsidRPr="00F23E6D" w14:paraId="7BEE5A04" w14:textId="77777777" w:rsidTr="007E736D">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7DC8DD95" w14:textId="2F365D58" w:rsidR="003F493B" w:rsidRPr="00F23E6D" w:rsidRDefault="003E109A"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 xml:space="preserve">Residential Miscellaneous Electricity Uses </w:t>
            </w:r>
          </w:p>
        </w:tc>
        <w:tc>
          <w:tcPr>
            <w:tcW w:w="1440" w:type="dxa"/>
            <w:vAlign w:val="bottom"/>
            <w:hideMark/>
          </w:tcPr>
          <w:p w14:paraId="1DE9A3C7"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1st standard year</w:t>
            </w:r>
          </w:p>
        </w:tc>
        <w:tc>
          <w:tcPr>
            <w:tcW w:w="1620" w:type="dxa"/>
            <w:vAlign w:val="bottom"/>
            <w:hideMark/>
          </w:tcPr>
          <w:p w14:paraId="273CCC81" w14:textId="3ED514CD"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 improvement &lt; BAU UEC</w:t>
            </w:r>
          </w:p>
        </w:tc>
        <w:tc>
          <w:tcPr>
            <w:tcW w:w="1530" w:type="dxa"/>
            <w:vAlign w:val="bottom"/>
            <w:hideMark/>
          </w:tcPr>
          <w:p w14:paraId="627E4814"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2nd standard year</w:t>
            </w:r>
          </w:p>
        </w:tc>
        <w:tc>
          <w:tcPr>
            <w:tcW w:w="1710" w:type="dxa"/>
            <w:vAlign w:val="bottom"/>
            <w:hideMark/>
          </w:tcPr>
          <w:p w14:paraId="21A01197" w14:textId="037FE41B"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 improvement &lt; BAU UEC</w:t>
            </w:r>
          </w:p>
        </w:tc>
        <w:tc>
          <w:tcPr>
            <w:tcW w:w="2311" w:type="dxa"/>
            <w:vAlign w:val="bottom"/>
            <w:hideMark/>
          </w:tcPr>
          <w:p w14:paraId="14CF9E08"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42B7CDB3"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020045BD"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Computer</w:t>
            </w:r>
          </w:p>
        </w:tc>
        <w:tc>
          <w:tcPr>
            <w:tcW w:w="1440" w:type="dxa"/>
            <w:noWrap/>
            <w:vAlign w:val="bottom"/>
            <w:hideMark/>
          </w:tcPr>
          <w:p w14:paraId="5F8027EB"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2016</w:t>
            </w:r>
          </w:p>
        </w:tc>
        <w:tc>
          <w:tcPr>
            <w:tcW w:w="1620" w:type="dxa"/>
            <w:noWrap/>
            <w:vAlign w:val="bottom"/>
            <w:hideMark/>
          </w:tcPr>
          <w:p w14:paraId="52884E6B"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50%</w:t>
            </w:r>
          </w:p>
        </w:tc>
        <w:tc>
          <w:tcPr>
            <w:tcW w:w="1530" w:type="dxa"/>
            <w:noWrap/>
            <w:vAlign w:val="bottom"/>
            <w:hideMark/>
          </w:tcPr>
          <w:p w14:paraId="52354CDD"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c>
          <w:tcPr>
            <w:tcW w:w="1710" w:type="dxa"/>
            <w:noWrap/>
            <w:vAlign w:val="bottom"/>
            <w:hideMark/>
          </w:tcPr>
          <w:p w14:paraId="61D2AD00"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c>
          <w:tcPr>
            <w:tcW w:w="2311" w:type="dxa"/>
            <w:noWrap/>
            <w:vAlign w:val="bottom"/>
            <w:hideMark/>
          </w:tcPr>
          <w:p w14:paraId="6A43B65C"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1050D624"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205B238C"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TV</w:t>
            </w:r>
          </w:p>
        </w:tc>
        <w:tc>
          <w:tcPr>
            <w:tcW w:w="1440" w:type="dxa"/>
            <w:noWrap/>
            <w:vAlign w:val="bottom"/>
            <w:hideMark/>
          </w:tcPr>
          <w:p w14:paraId="636F6B54"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2016</w:t>
            </w:r>
          </w:p>
        </w:tc>
        <w:tc>
          <w:tcPr>
            <w:tcW w:w="1620" w:type="dxa"/>
            <w:noWrap/>
            <w:vAlign w:val="bottom"/>
            <w:hideMark/>
          </w:tcPr>
          <w:p w14:paraId="44755B91"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60%</w:t>
            </w:r>
          </w:p>
        </w:tc>
        <w:tc>
          <w:tcPr>
            <w:tcW w:w="1530" w:type="dxa"/>
            <w:noWrap/>
            <w:vAlign w:val="bottom"/>
            <w:hideMark/>
          </w:tcPr>
          <w:p w14:paraId="6546B2A6"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c>
          <w:tcPr>
            <w:tcW w:w="1710" w:type="dxa"/>
            <w:noWrap/>
            <w:vAlign w:val="bottom"/>
            <w:hideMark/>
          </w:tcPr>
          <w:p w14:paraId="64407680"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c>
          <w:tcPr>
            <w:tcW w:w="2311" w:type="dxa"/>
            <w:noWrap/>
            <w:vAlign w:val="bottom"/>
            <w:hideMark/>
          </w:tcPr>
          <w:p w14:paraId="180EF16E"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54B6E338"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0833DA01"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Set-top boxes</w:t>
            </w:r>
          </w:p>
        </w:tc>
        <w:tc>
          <w:tcPr>
            <w:tcW w:w="1440" w:type="dxa"/>
            <w:noWrap/>
            <w:vAlign w:val="bottom"/>
            <w:hideMark/>
          </w:tcPr>
          <w:p w14:paraId="483F114F"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2017</w:t>
            </w:r>
          </w:p>
        </w:tc>
        <w:tc>
          <w:tcPr>
            <w:tcW w:w="1620" w:type="dxa"/>
            <w:noWrap/>
            <w:vAlign w:val="bottom"/>
            <w:hideMark/>
          </w:tcPr>
          <w:p w14:paraId="3687DF56"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30%</w:t>
            </w:r>
          </w:p>
        </w:tc>
        <w:tc>
          <w:tcPr>
            <w:tcW w:w="1530" w:type="dxa"/>
            <w:noWrap/>
            <w:vAlign w:val="bottom"/>
            <w:hideMark/>
          </w:tcPr>
          <w:p w14:paraId="158FC5B4"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c>
          <w:tcPr>
            <w:tcW w:w="1710" w:type="dxa"/>
            <w:noWrap/>
            <w:vAlign w:val="bottom"/>
            <w:hideMark/>
          </w:tcPr>
          <w:p w14:paraId="47A04D9A"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c>
          <w:tcPr>
            <w:tcW w:w="2311" w:type="dxa"/>
            <w:noWrap/>
            <w:vAlign w:val="bottom"/>
            <w:hideMark/>
          </w:tcPr>
          <w:p w14:paraId="6BCDE429"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31D12645"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0737AB99"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External power supply</w:t>
            </w:r>
          </w:p>
        </w:tc>
        <w:tc>
          <w:tcPr>
            <w:tcW w:w="1440" w:type="dxa"/>
            <w:noWrap/>
            <w:vAlign w:val="bottom"/>
            <w:hideMark/>
          </w:tcPr>
          <w:p w14:paraId="7DBEAE4C"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2015</w:t>
            </w:r>
          </w:p>
        </w:tc>
        <w:tc>
          <w:tcPr>
            <w:tcW w:w="1620" w:type="dxa"/>
            <w:noWrap/>
            <w:vAlign w:val="bottom"/>
            <w:hideMark/>
          </w:tcPr>
          <w:p w14:paraId="17318FC6"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30%</w:t>
            </w:r>
          </w:p>
        </w:tc>
        <w:tc>
          <w:tcPr>
            <w:tcW w:w="1530" w:type="dxa"/>
            <w:noWrap/>
            <w:vAlign w:val="bottom"/>
            <w:hideMark/>
          </w:tcPr>
          <w:p w14:paraId="636563A3"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2017</w:t>
            </w:r>
          </w:p>
        </w:tc>
        <w:tc>
          <w:tcPr>
            <w:tcW w:w="1710" w:type="dxa"/>
            <w:noWrap/>
            <w:vAlign w:val="bottom"/>
            <w:hideMark/>
          </w:tcPr>
          <w:p w14:paraId="43AC53B5"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40%</w:t>
            </w:r>
          </w:p>
        </w:tc>
        <w:tc>
          <w:tcPr>
            <w:tcW w:w="2311" w:type="dxa"/>
            <w:noWrap/>
            <w:vAlign w:val="bottom"/>
            <w:hideMark/>
          </w:tcPr>
          <w:p w14:paraId="45142B62"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28D99AB0"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3FB5EC79"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Battery charger</w:t>
            </w:r>
          </w:p>
        </w:tc>
        <w:tc>
          <w:tcPr>
            <w:tcW w:w="1440" w:type="dxa"/>
            <w:noWrap/>
            <w:vAlign w:val="bottom"/>
            <w:hideMark/>
          </w:tcPr>
          <w:p w14:paraId="413DBBC4"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2016</w:t>
            </w:r>
          </w:p>
        </w:tc>
        <w:tc>
          <w:tcPr>
            <w:tcW w:w="1620" w:type="dxa"/>
            <w:noWrap/>
            <w:vAlign w:val="bottom"/>
            <w:hideMark/>
          </w:tcPr>
          <w:p w14:paraId="785937ED"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30%</w:t>
            </w:r>
          </w:p>
        </w:tc>
        <w:tc>
          <w:tcPr>
            <w:tcW w:w="1530" w:type="dxa"/>
            <w:noWrap/>
            <w:vAlign w:val="bottom"/>
            <w:hideMark/>
          </w:tcPr>
          <w:p w14:paraId="11C36441"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2018</w:t>
            </w:r>
          </w:p>
        </w:tc>
        <w:tc>
          <w:tcPr>
            <w:tcW w:w="1710" w:type="dxa"/>
            <w:noWrap/>
            <w:vAlign w:val="bottom"/>
            <w:hideMark/>
          </w:tcPr>
          <w:p w14:paraId="0FE9CD7C"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40%</w:t>
            </w:r>
          </w:p>
        </w:tc>
        <w:tc>
          <w:tcPr>
            <w:tcW w:w="2311" w:type="dxa"/>
            <w:noWrap/>
            <w:vAlign w:val="bottom"/>
            <w:hideMark/>
          </w:tcPr>
          <w:p w14:paraId="177CC68C"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5789128E"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7D1EC889" w14:textId="7B36C28A" w:rsidR="003F493B" w:rsidRPr="00F23E6D" w:rsidRDefault="00C278E1"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Residential Lighting</w:t>
            </w:r>
          </w:p>
        </w:tc>
        <w:tc>
          <w:tcPr>
            <w:tcW w:w="1440" w:type="dxa"/>
            <w:noWrap/>
            <w:vAlign w:val="bottom"/>
            <w:hideMark/>
          </w:tcPr>
          <w:p w14:paraId="21001CB8"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1st standard year</w:t>
            </w:r>
          </w:p>
        </w:tc>
        <w:tc>
          <w:tcPr>
            <w:tcW w:w="1620" w:type="dxa"/>
            <w:noWrap/>
            <w:vAlign w:val="bottom"/>
            <w:hideMark/>
          </w:tcPr>
          <w:p w14:paraId="1C5A7685"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Efficiency (lumen/watt)</w:t>
            </w:r>
          </w:p>
        </w:tc>
        <w:tc>
          <w:tcPr>
            <w:tcW w:w="1530" w:type="dxa"/>
            <w:noWrap/>
            <w:vAlign w:val="bottom"/>
            <w:hideMark/>
          </w:tcPr>
          <w:p w14:paraId="55817E38"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2nd standard year</w:t>
            </w:r>
          </w:p>
        </w:tc>
        <w:tc>
          <w:tcPr>
            <w:tcW w:w="4021" w:type="dxa"/>
            <w:gridSpan w:val="2"/>
            <w:noWrap/>
            <w:vAlign w:val="bottom"/>
            <w:hideMark/>
          </w:tcPr>
          <w:p w14:paraId="63D40322"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Efficiency (lumen/watt)</w:t>
            </w:r>
          </w:p>
        </w:tc>
      </w:tr>
      <w:tr w:rsidR="007E736D" w:rsidRPr="00F23E6D" w14:paraId="6A2B7CD0"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4099BE4F"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Incandescent lamps</w:t>
            </w:r>
          </w:p>
        </w:tc>
        <w:tc>
          <w:tcPr>
            <w:tcW w:w="1440" w:type="dxa"/>
            <w:noWrap/>
            <w:vAlign w:val="bottom"/>
            <w:hideMark/>
          </w:tcPr>
          <w:p w14:paraId="6526A5AD"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2015</w:t>
            </w:r>
          </w:p>
        </w:tc>
        <w:tc>
          <w:tcPr>
            <w:tcW w:w="1620" w:type="dxa"/>
            <w:noWrap/>
            <w:vAlign w:val="bottom"/>
            <w:hideMark/>
          </w:tcPr>
          <w:p w14:paraId="16AEDAE8"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w:t>
            </w:r>
          </w:p>
        </w:tc>
        <w:tc>
          <w:tcPr>
            <w:tcW w:w="1530" w:type="dxa"/>
            <w:noWrap/>
            <w:vAlign w:val="bottom"/>
            <w:hideMark/>
          </w:tcPr>
          <w:p w14:paraId="4D10AFD3"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2020</w:t>
            </w:r>
          </w:p>
        </w:tc>
        <w:tc>
          <w:tcPr>
            <w:tcW w:w="1710" w:type="dxa"/>
            <w:noWrap/>
            <w:vAlign w:val="bottom"/>
            <w:hideMark/>
          </w:tcPr>
          <w:p w14:paraId="14361EAD"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65</w:t>
            </w:r>
          </w:p>
        </w:tc>
        <w:tc>
          <w:tcPr>
            <w:tcW w:w="2311" w:type="dxa"/>
            <w:noWrap/>
            <w:vAlign w:val="bottom"/>
            <w:hideMark/>
          </w:tcPr>
          <w:p w14:paraId="7B439156"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3F493B" w:rsidRPr="00F23E6D" w14:paraId="06F2FF5F"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2160190C"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All other GSLs</w:t>
            </w:r>
          </w:p>
        </w:tc>
        <w:tc>
          <w:tcPr>
            <w:tcW w:w="6300" w:type="dxa"/>
            <w:gridSpan w:val="4"/>
            <w:noWrap/>
            <w:vAlign w:val="bottom"/>
            <w:hideMark/>
          </w:tcPr>
          <w:p w14:paraId="7EADA0E5"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Use AEO2014 best available demand tech</w:t>
            </w:r>
          </w:p>
        </w:tc>
        <w:tc>
          <w:tcPr>
            <w:tcW w:w="2311" w:type="dxa"/>
            <w:noWrap/>
            <w:vAlign w:val="bottom"/>
            <w:hideMark/>
          </w:tcPr>
          <w:p w14:paraId="66027297"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1D3C56B6" w14:textId="77777777" w:rsidTr="007E736D">
        <w:trPr>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333BA44C"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Reflector lamps</w:t>
            </w:r>
          </w:p>
        </w:tc>
        <w:tc>
          <w:tcPr>
            <w:tcW w:w="1440" w:type="dxa"/>
            <w:noWrap/>
            <w:vAlign w:val="bottom"/>
            <w:hideMark/>
          </w:tcPr>
          <w:p w14:paraId="121AC7B6"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2020</w:t>
            </w:r>
          </w:p>
        </w:tc>
        <w:tc>
          <w:tcPr>
            <w:tcW w:w="1620" w:type="dxa"/>
            <w:noWrap/>
            <w:vAlign w:val="bottom"/>
            <w:hideMark/>
          </w:tcPr>
          <w:p w14:paraId="286C4B43"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45</w:t>
            </w:r>
          </w:p>
        </w:tc>
        <w:tc>
          <w:tcPr>
            <w:tcW w:w="1530" w:type="dxa"/>
            <w:noWrap/>
            <w:vAlign w:val="bottom"/>
            <w:hideMark/>
          </w:tcPr>
          <w:p w14:paraId="5D902161"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c>
          <w:tcPr>
            <w:tcW w:w="1710" w:type="dxa"/>
            <w:noWrap/>
            <w:vAlign w:val="bottom"/>
            <w:hideMark/>
          </w:tcPr>
          <w:p w14:paraId="7D5D707C"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c>
          <w:tcPr>
            <w:tcW w:w="2311" w:type="dxa"/>
            <w:noWrap/>
            <w:vAlign w:val="bottom"/>
            <w:hideMark/>
          </w:tcPr>
          <w:p w14:paraId="04B1349E" w14:textId="77777777" w:rsidR="003F493B" w:rsidRPr="00F23E6D" w:rsidRDefault="003F493B" w:rsidP="007E73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bidi="ar-SA"/>
              </w:rPr>
            </w:pPr>
          </w:p>
        </w:tc>
      </w:tr>
      <w:tr w:rsidR="007E736D" w:rsidRPr="00F23E6D" w14:paraId="71B5B77A" w14:textId="77777777" w:rsidTr="007E73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08" w:type="dxa"/>
            <w:noWrap/>
            <w:vAlign w:val="bottom"/>
            <w:hideMark/>
          </w:tcPr>
          <w:p w14:paraId="2ED73845" w14:textId="77777777" w:rsidR="003F493B" w:rsidRPr="00F23E6D" w:rsidRDefault="003F493B" w:rsidP="007E736D">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Linear fluorescent</w:t>
            </w:r>
          </w:p>
        </w:tc>
        <w:tc>
          <w:tcPr>
            <w:tcW w:w="1440" w:type="dxa"/>
            <w:noWrap/>
            <w:vAlign w:val="bottom"/>
            <w:hideMark/>
          </w:tcPr>
          <w:p w14:paraId="119672BB"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2018</w:t>
            </w:r>
          </w:p>
        </w:tc>
        <w:tc>
          <w:tcPr>
            <w:tcW w:w="1620" w:type="dxa"/>
            <w:noWrap/>
            <w:vAlign w:val="bottom"/>
            <w:hideMark/>
          </w:tcPr>
          <w:p w14:paraId="53BC243C"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97</w:t>
            </w:r>
          </w:p>
        </w:tc>
        <w:tc>
          <w:tcPr>
            <w:tcW w:w="1530" w:type="dxa"/>
            <w:noWrap/>
            <w:vAlign w:val="bottom"/>
            <w:hideMark/>
          </w:tcPr>
          <w:p w14:paraId="73C6E364"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c>
          <w:tcPr>
            <w:tcW w:w="1710" w:type="dxa"/>
            <w:noWrap/>
            <w:vAlign w:val="bottom"/>
            <w:hideMark/>
          </w:tcPr>
          <w:p w14:paraId="300E6C1D"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c>
          <w:tcPr>
            <w:tcW w:w="2311" w:type="dxa"/>
            <w:noWrap/>
            <w:vAlign w:val="bottom"/>
            <w:hideMark/>
          </w:tcPr>
          <w:p w14:paraId="345666E2" w14:textId="77777777" w:rsidR="003F493B" w:rsidRPr="00F23E6D" w:rsidRDefault="003F493B" w:rsidP="007E73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bidi="ar-SA"/>
              </w:rPr>
            </w:pPr>
          </w:p>
        </w:tc>
      </w:tr>
    </w:tbl>
    <w:p w14:paraId="39DCCC84" w14:textId="3B83A7BA" w:rsidR="004D2322" w:rsidRPr="004A2AA6" w:rsidRDefault="004A2AA6" w:rsidP="004A2AA6">
      <w:pPr>
        <w:suppressAutoHyphens w:val="0"/>
        <w:autoSpaceDE w:val="0"/>
        <w:autoSpaceDN w:val="0"/>
        <w:adjustRightInd w:val="0"/>
        <w:rPr>
          <w:rFonts w:ascii="Times New Roman" w:hAnsi="Times New Roman" w:cs="Times New Roman"/>
          <w:sz w:val="22"/>
          <w:szCs w:val="22"/>
          <w:lang w:bidi="ar-SA"/>
        </w:rPr>
      </w:pPr>
      <w:r>
        <w:rPr>
          <w:rFonts w:ascii="Times New Roman" w:hAnsi="Times New Roman" w:cs="Times New Roman"/>
        </w:rPr>
        <w:t>*</w:t>
      </w:r>
      <w:r w:rsidRPr="004A2AA6">
        <w:rPr>
          <w:rFonts w:ascii="Times New Roman" w:hAnsi="Times New Roman" w:cs="Times New Roman"/>
          <w:sz w:val="22"/>
          <w:szCs w:val="22"/>
          <w:lang w:bidi="ar-SA"/>
        </w:rPr>
        <w:t>The percentage of relative improvement refers to how much more</w:t>
      </w:r>
      <w:r>
        <w:rPr>
          <w:rFonts w:ascii="Times New Roman" w:hAnsi="Times New Roman" w:cs="Times New Roman"/>
          <w:sz w:val="22"/>
          <w:szCs w:val="22"/>
          <w:lang w:bidi="ar-SA"/>
        </w:rPr>
        <w:t xml:space="preserve"> </w:t>
      </w:r>
      <w:r w:rsidRPr="004A2AA6">
        <w:rPr>
          <w:rFonts w:ascii="Times New Roman" w:hAnsi="Times New Roman" w:cs="Times New Roman"/>
          <w:sz w:val="22"/>
          <w:szCs w:val="22"/>
          <w:lang w:bidi="ar-SA"/>
        </w:rPr>
        <w:t>the improvement is greater than the improvement in the reference case. For example, the 60% improvement in TVs compared to the base is not that TVs are using 60% less than the base case, but that the improvement seen in</w:t>
      </w:r>
      <w:r>
        <w:rPr>
          <w:rFonts w:ascii="Times New Roman" w:hAnsi="Times New Roman" w:cs="Times New Roman"/>
          <w:sz w:val="22"/>
          <w:szCs w:val="22"/>
          <w:lang w:bidi="ar-SA"/>
        </w:rPr>
        <w:t xml:space="preserve"> </w:t>
      </w:r>
      <w:r w:rsidRPr="004A2AA6">
        <w:rPr>
          <w:rFonts w:ascii="Times New Roman" w:hAnsi="Times New Roman" w:cs="Times New Roman"/>
          <w:sz w:val="22"/>
          <w:szCs w:val="22"/>
          <w:lang w:bidi="ar-SA"/>
        </w:rPr>
        <w:t>the base case at the given year is increased by 60%.</w:t>
      </w:r>
    </w:p>
    <w:p w14:paraId="6F217669" w14:textId="677EC885" w:rsidR="000D784C" w:rsidRPr="00F23E6D" w:rsidRDefault="000D784C" w:rsidP="00A72615">
      <w:pPr>
        <w:pStyle w:val="Heading2"/>
        <w:spacing w:line="276" w:lineRule="auto"/>
        <w:rPr>
          <w:rFonts w:ascii="Times New Roman" w:hAnsi="Times New Roman" w:cs="Times New Roman"/>
          <w:sz w:val="24"/>
          <w:szCs w:val="24"/>
        </w:rPr>
      </w:pPr>
      <w:r w:rsidRPr="00F23E6D">
        <w:rPr>
          <w:rFonts w:ascii="Times New Roman" w:hAnsi="Times New Roman" w:cs="Times New Roman"/>
          <w:sz w:val="24"/>
          <w:szCs w:val="24"/>
        </w:rPr>
        <w:t xml:space="preserve">Commercial Appliance Standards </w:t>
      </w:r>
    </w:p>
    <w:p w14:paraId="2312E889" w14:textId="453D719C" w:rsidR="000D784C" w:rsidRPr="00151667" w:rsidRDefault="000D784C" w:rsidP="00A72615">
      <w:pPr>
        <w:pStyle w:val="TextBody"/>
        <w:spacing w:line="276" w:lineRule="auto"/>
        <w:rPr>
          <w:rFonts w:ascii="Times New Roman" w:hAnsi="Times New Roman" w:cs="Times New Roman"/>
        </w:rPr>
      </w:pPr>
      <w:r w:rsidRPr="00151667">
        <w:rPr>
          <w:rFonts w:ascii="Times New Roman" w:hAnsi="Times New Roman" w:cs="Times New Roman"/>
        </w:rPr>
        <w:t xml:space="preserve">Commercial appliances are modeled using the </w:t>
      </w:r>
      <w:r w:rsidR="00057733" w:rsidRPr="00151667">
        <w:rPr>
          <w:rFonts w:ascii="Times New Roman" w:hAnsi="Times New Roman" w:cs="Times New Roman"/>
          <w:b/>
        </w:rPr>
        <w:t>High Demand Tech</w:t>
      </w:r>
      <w:r w:rsidRPr="00151667">
        <w:rPr>
          <w:rFonts w:ascii="Times New Roman" w:hAnsi="Times New Roman" w:cs="Times New Roman"/>
          <w:b/>
        </w:rPr>
        <w:t>nology</w:t>
      </w:r>
      <w:r w:rsidRPr="00151667">
        <w:rPr>
          <w:rFonts w:ascii="Times New Roman" w:hAnsi="Times New Roman" w:cs="Times New Roman"/>
        </w:rPr>
        <w:t xml:space="preserve"> side case. </w:t>
      </w:r>
      <w:r w:rsidR="00151667" w:rsidRPr="00151667">
        <w:rPr>
          <w:rFonts w:ascii="Times New Roman" w:hAnsi="Times New Roman" w:cs="Times New Roman"/>
        </w:rPr>
        <w:t xml:space="preserve">This included </w:t>
      </w:r>
      <w:r w:rsidR="00151667" w:rsidRPr="00151667">
        <w:rPr>
          <w:rFonts w:ascii="Times New Roman" w:hAnsi="Times New Roman" w:cs="Times New Roman"/>
          <w:lang w:bidi="ar-SA"/>
        </w:rPr>
        <w:t xml:space="preserve">applying the </w:t>
      </w:r>
      <w:proofErr w:type="spellStart"/>
      <w:r w:rsidR="00151667" w:rsidRPr="00151667">
        <w:rPr>
          <w:rFonts w:ascii="Times New Roman" w:hAnsi="Times New Roman" w:cs="Times New Roman"/>
          <w:lang w:bidi="ar-SA"/>
        </w:rPr>
        <w:t>kintense</w:t>
      </w:r>
      <w:proofErr w:type="spellEnd"/>
      <w:r w:rsidR="00151667" w:rsidRPr="00151667">
        <w:rPr>
          <w:rFonts w:ascii="Times New Roman" w:hAnsi="Times New Roman" w:cs="Times New Roman"/>
          <w:lang w:bidi="ar-SA"/>
        </w:rPr>
        <w:t xml:space="preserve"> file from </w:t>
      </w:r>
      <w:r w:rsidR="00151667" w:rsidRPr="00151667">
        <w:rPr>
          <w:rFonts w:ascii="Times New Roman" w:hAnsi="Times New Roman" w:cs="Times New Roman"/>
        </w:rPr>
        <w:t xml:space="preserve">the </w:t>
      </w:r>
      <w:r w:rsidR="00151667" w:rsidRPr="00151667">
        <w:rPr>
          <w:rFonts w:ascii="Times New Roman" w:hAnsi="Times New Roman" w:cs="Times New Roman"/>
          <w:b/>
        </w:rPr>
        <w:t>High Demand Technology</w:t>
      </w:r>
      <w:r w:rsidR="00151667" w:rsidRPr="00151667">
        <w:rPr>
          <w:rFonts w:ascii="Times New Roman" w:hAnsi="Times New Roman" w:cs="Times New Roman"/>
        </w:rPr>
        <w:t xml:space="preserve"> side case</w:t>
      </w:r>
      <w:r w:rsidR="00151667" w:rsidRPr="00151667">
        <w:rPr>
          <w:rFonts w:ascii="Times New Roman" w:hAnsi="Times New Roman" w:cs="Times New Roman"/>
          <w:lang w:bidi="ar-SA"/>
        </w:rPr>
        <w:t xml:space="preserve">. In </w:t>
      </w:r>
      <w:proofErr w:type="spellStart"/>
      <w:r w:rsidR="00151667" w:rsidRPr="00151667">
        <w:rPr>
          <w:rFonts w:ascii="Times New Roman" w:hAnsi="Times New Roman" w:cs="Times New Roman"/>
          <w:lang w:bidi="ar-SA"/>
        </w:rPr>
        <w:t>kintense</w:t>
      </w:r>
      <w:proofErr w:type="spellEnd"/>
      <w:r w:rsidR="00151667" w:rsidRPr="00151667">
        <w:rPr>
          <w:rFonts w:ascii="Times New Roman" w:hAnsi="Times New Roman" w:cs="Times New Roman"/>
          <w:lang w:bidi="ar-SA"/>
        </w:rPr>
        <w:t xml:space="preserve">, the energy </w:t>
      </w:r>
      <w:r w:rsidR="00151667" w:rsidRPr="00151667">
        <w:rPr>
          <w:rFonts w:ascii="Times New Roman" w:hAnsi="Times New Roman" w:cs="Times New Roman"/>
          <w:lang w:bidi="ar-SA"/>
        </w:rPr>
        <w:lastRenderedPageBreak/>
        <w:t>intensity of office equipmen</w:t>
      </w:r>
      <w:r w:rsidR="00451461">
        <w:rPr>
          <w:rFonts w:ascii="Times New Roman" w:hAnsi="Times New Roman" w:cs="Times New Roman"/>
          <w:lang w:bidi="ar-SA"/>
        </w:rPr>
        <w:t xml:space="preserve">t PC, non-PC and miscellaneous equipment </w:t>
      </w:r>
      <w:r w:rsidR="00151667" w:rsidRPr="00151667">
        <w:rPr>
          <w:rFonts w:ascii="Times New Roman" w:hAnsi="Times New Roman" w:cs="Times New Roman"/>
          <w:lang w:bidi="ar-SA"/>
        </w:rPr>
        <w:t xml:space="preserve">is reduced by 45%. </w:t>
      </w:r>
      <w:r w:rsidR="00451461">
        <w:rPr>
          <w:rFonts w:ascii="Times New Roman" w:hAnsi="Times New Roman" w:cs="Times New Roman"/>
        </w:rPr>
        <w:t>Possible s</w:t>
      </w:r>
      <w:r w:rsidRPr="00151667">
        <w:rPr>
          <w:rFonts w:ascii="Times New Roman" w:hAnsi="Times New Roman" w:cs="Times New Roman"/>
        </w:rPr>
        <w:t xml:space="preserve">tandards for commercial miscellaneous </w:t>
      </w:r>
      <w:r w:rsidR="00B026C1" w:rsidRPr="00151667">
        <w:rPr>
          <w:rFonts w:ascii="Times New Roman" w:hAnsi="Times New Roman" w:cs="Times New Roman"/>
        </w:rPr>
        <w:t>electricity end uses</w:t>
      </w:r>
      <w:r w:rsidRPr="00151667">
        <w:rPr>
          <w:rFonts w:ascii="Times New Roman" w:hAnsi="Times New Roman" w:cs="Times New Roman"/>
        </w:rPr>
        <w:t xml:space="preserve"> were characterized</w:t>
      </w:r>
      <w:r w:rsidR="00B70FF6" w:rsidRPr="00151667">
        <w:rPr>
          <w:rFonts w:ascii="Times New Roman" w:hAnsi="Times New Roman" w:cs="Times New Roman"/>
        </w:rPr>
        <w:t xml:space="preserve"> in an effort to strengthen the </w:t>
      </w:r>
      <w:r w:rsidR="00057733" w:rsidRPr="00151667">
        <w:rPr>
          <w:rFonts w:ascii="Times New Roman" w:hAnsi="Times New Roman" w:cs="Times New Roman"/>
        </w:rPr>
        <w:t>High Demand Technology</w:t>
      </w:r>
      <w:r w:rsidR="00B70FF6" w:rsidRPr="00151667">
        <w:rPr>
          <w:rFonts w:ascii="Times New Roman" w:hAnsi="Times New Roman" w:cs="Times New Roman"/>
        </w:rPr>
        <w:t xml:space="preserve"> assumptions</w:t>
      </w:r>
      <w:r w:rsidRPr="00151667">
        <w:rPr>
          <w:rFonts w:ascii="Times New Roman" w:hAnsi="Times New Roman" w:cs="Times New Roman"/>
        </w:rPr>
        <w:t xml:space="preserve">, but </w:t>
      </w:r>
      <w:r w:rsidR="00B70FF6" w:rsidRPr="00151667">
        <w:rPr>
          <w:rFonts w:ascii="Times New Roman" w:hAnsi="Times New Roman" w:cs="Times New Roman"/>
        </w:rPr>
        <w:t xml:space="preserve">it was decided not to include them in the </w:t>
      </w:r>
      <w:r w:rsidR="00B70FF6" w:rsidRPr="00151667">
        <w:rPr>
          <w:rFonts w:ascii="Times New Roman" w:hAnsi="Times New Roman" w:cs="Times New Roman"/>
          <w:lang w:bidi="ar-SA"/>
        </w:rPr>
        <w:t>integrated efficiency scenario</w:t>
      </w:r>
      <w:r w:rsidRPr="00151667">
        <w:rPr>
          <w:rFonts w:ascii="Times New Roman" w:hAnsi="Times New Roman" w:cs="Times New Roman"/>
        </w:rPr>
        <w:t xml:space="preserve">. </w:t>
      </w:r>
    </w:p>
    <w:p w14:paraId="0A9630F8" w14:textId="77777777" w:rsidR="003E109A" w:rsidRPr="00F23E6D" w:rsidRDefault="003E109A" w:rsidP="00A72615">
      <w:pPr>
        <w:pStyle w:val="TextBody"/>
        <w:spacing w:line="276" w:lineRule="auto"/>
        <w:rPr>
          <w:rFonts w:ascii="Times New Roman" w:hAnsi="Times New Roman" w:cs="Times New Roman"/>
        </w:rPr>
      </w:pPr>
    </w:p>
    <w:tbl>
      <w:tblPr>
        <w:tblW w:w="10519" w:type="dxa"/>
        <w:tblInd w:w="93" w:type="dxa"/>
        <w:tblLayout w:type="fixed"/>
        <w:tblLook w:val="04A0" w:firstRow="1" w:lastRow="0" w:firstColumn="1" w:lastColumn="0" w:noHBand="0" w:noVBand="1"/>
      </w:tblPr>
      <w:tblGrid>
        <w:gridCol w:w="2436"/>
        <w:gridCol w:w="549"/>
        <w:gridCol w:w="1037"/>
        <w:gridCol w:w="2129"/>
        <w:gridCol w:w="1244"/>
        <w:gridCol w:w="414"/>
        <w:gridCol w:w="1434"/>
        <w:gridCol w:w="1276"/>
      </w:tblGrid>
      <w:tr w:rsidR="000D784C" w:rsidRPr="00F23E6D" w14:paraId="4FD49F93" w14:textId="77777777" w:rsidTr="00451461">
        <w:trPr>
          <w:trHeight w:val="280"/>
        </w:trPr>
        <w:tc>
          <w:tcPr>
            <w:tcW w:w="2985" w:type="dxa"/>
            <w:gridSpan w:val="2"/>
            <w:tcBorders>
              <w:top w:val="nil"/>
              <w:left w:val="nil"/>
              <w:bottom w:val="nil"/>
              <w:right w:val="nil"/>
            </w:tcBorders>
            <w:shd w:val="clear" w:color="auto" w:fill="auto"/>
            <w:noWrap/>
            <w:vAlign w:val="bottom"/>
            <w:hideMark/>
          </w:tcPr>
          <w:p w14:paraId="414D140E" w14:textId="7F792329"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 xml:space="preserve">COMMERCIAL </w:t>
            </w:r>
            <w:r w:rsidR="008316E1" w:rsidRPr="00F23E6D">
              <w:rPr>
                <w:rFonts w:ascii="Times New Roman" w:eastAsia="Times New Roman" w:hAnsi="Times New Roman" w:cs="Times New Roman"/>
                <w:lang w:eastAsia="en-US" w:bidi="ar-SA"/>
              </w:rPr>
              <w:t>MISCELLANEOUS ELECTRICITY USES</w:t>
            </w:r>
          </w:p>
        </w:tc>
        <w:tc>
          <w:tcPr>
            <w:tcW w:w="1037" w:type="dxa"/>
            <w:tcBorders>
              <w:top w:val="nil"/>
              <w:left w:val="nil"/>
              <w:bottom w:val="nil"/>
              <w:right w:val="nil"/>
            </w:tcBorders>
            <w:shd w:val="clear" w:color="auto" w:fill="auto"/>
            <w:noWrap/>
            <w:vAlign w:val="bottom"/>
            <w:hideMark/>
          </w:tcPr>
          <w:p w14:paraId="4507404A"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1st standard year</w:t>
            </w:r>
          </w:p>
        </w:tc>
        <w:tc>
          <w:tcPr>
            <w:tcW w:w="3373" w:type="dxa"/>
            <w:gridSpan w:val="2"/>
            <w:tcBorders>
              <w:top w:val="nil"/>
              <w:left w:val="nil"/>
              <w:bottom w:val="nil"/>
              <w:right w:val="nil"/>
            </w:tcBorders>
            <w:shd w:val="clear" w:color="auto" w:fill="auto"/>
            <w:noWrap/>
            <w:vAlign w:val="bottom"/>
            <w:hideMark/>
          </w:tcPr>
          <w:p w14:paraId="423A439B" w14:textId="1BA8B7B6" w:rsidR="000D784C" w:rsidRPr="00F23E6D" w:rsidRDefault="00451461" w:rsidP="00A72615">
            <w:pPr>
              <w:spacing w:line="276" w:lineRule="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I</w:t>
            </w:r>
            <w:r w:rsidR="000D784C" w:rsidRPr="00F23E6D">
              <w:rPr>
                <w:rFonts w:ascii="Times New Roman" w:eastAsia="Times New Roman" w:hAnsi="Times New Roman" w:cs="Times New Roman"/>
                <w:lang w:eastAsia="en-US" w:bidi="ar-SA"/>
              </w:rPr>
              <w:t xml:space="preserve">mprovement below BAU </w:t>
            </w:r>
            <w:r w:rsidR="003E109A" w:rsidRPr="00F23E6D">
              <w:rPr>
                <w:rFonts w:ascii="Times New Roman" w:eastAsia="Times New Roman" w:hAnsi="Times New Roman" w:cs="Times New Roman"/>
                <w:lang w:eastAsia="en-US" w:bidi="ar-SA"/>
              </w:rPr>
              <w:t>Unit Energy Consumption (</w:t>
            </w:r>
            <w:r w:rsidR="000D784C" w:rsidRPr="00F23E6D">
              <w:rPr>
                <w:rFonts w:ascii="Times New Roman" w:eastAsia="Times New Roman" w:hAnsi="Times New Roman" w:cs="Times New Roman"/>
                <w:lang w:eastAsia="en-US" w:bidi="ar-SA"/>
              </w:rPr>
              <w:t>UEC</w:t>
            </w:r>
            <w:r w:rsidR="003E109A" w:rsidRPr="00F23E6D">
              <w:rPr>
                <w:rFonts w:ascii="Times New Roman" w:eastAsia="Times New Roman" w:hAnsi="Times New Roman" w:cs="Times New Roman"/>
                <w:lang w:eastAsia="en-US" w:bidi="ar-SA"/>
              </w:rPr>
              <w:t>)</w:t>
            </w:r>
          </w:p>
        </w:tc>
        <w:tc>
          <w:tcPr>
            <w:tcW w:w="3124" w:type="dxa"/>
            <w:gridSpan w:val="3"/>
            <w:tcBorders>
              <w:top w:val="nil"/>
              <w:left w:val="nil"/>
              <w:bottom w:val="nil"/>
              <w:right w:val="nil"/>
            </w:tcBorders>
            <w:shd w:val="clear" w:color="auto" w:fill="auto"/>
            <w:noWrap/>
            <w:vAlign w:val="bottom"/>
            <w:hideMark/>
          </w:tcPr>
          <w:p w14:paraId="50405A4A" w14:textId="77777777" w:rsidR="000D784C" w:rsidRPr="00F23E6D" w:rsidRDefault="000D784C" w:rsidP="00A72615">
            <w:pPr>
              <w:spacing w:line="276" w:lineRule="auto"/>
              <w:rPr>
                <w:rFonts w:ascii="Times New Roman" w:eastAsia="Times New Roman" w:hAnsi="Times New Roman" w:cs="Times New Roman"/>
                <w:lang w:eastAsia="en-US" w:bidi="ar-SA"/>
              </w:rPr>
            </w:pPr>
          </w:p>
        </w:tc>
      </w:tr>
      <w:tr w:rsidR="000D784C" w:rsidRPr="00F23E6D" w14:paraId="381EDF38" w14:textId="77777777" w:rsidTr="000D784C">
        <w:trPr>
          <w:trHeight w:val="280"/>
        </w:trPr>
        <w:tc>
          <w:tcPr>
            <w:tcW w:w="2436" w:type="dxa"/>
            <w:tcBorders>
              <w:top w:val="nil"/>
              <w:left w:val="nil"/>
              <w:bottom w:val="nil"/>
              <w:right w:val="nil"/>
            </w:tcBorders>
            <w:shd w:val="clear" w:color="auto" w:fill="auto"/>
            <w:noWrap/>
            <w:vAlign w:val="bottom"/>
            <w:hideMark/>
          </w:tcPr>
          <w:p w14:paraId="68F410E9" w14:textId="77777777" w:rsidR="00451461" w:rsidRDefault="00451461" w:rsidP="00A72615">
            <w:pPr>
              <w:spacing w:line="276" w:lineRule="auto"/>
              <w:rPr>
                <w:rFonts w:ascii="Times New Roman" w:eastAsia="Times New Roman" w:hAnsi="Times New Roman" w:cs="Times New Roman"/>
                <w:lang w:eastAsia="en-US" w:bidi="ar-SA"/>
              </w:rPr>
            </w:pPr>
          </w:p>
          <w:p w14:paraId="2AFAAA50"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Server</w:t>
            </w:r>
          </w:p>
        </w:tc>
        <w:tc>
          <w:tcPr>
            <w:tcW w:w="1586" w:type="dxa"/>
            <w:gridSpan w:val="2"/>
            <w:tcBorders>
              <w:top w:val="nil"/>
              <w:left w:val="nil"/>
              <w:bottom w:val="nil"/>
              <w:right w:val="nil"/>
            </w:tcBorders>
            <w:shd w:val="clear" w:color="auto" w:fill="auto"/>
            <w:noWrap/>
            <w:vAlign w:val="bottom"/>
            <w:hideMark/>
          </w:tcPr>
          <w:p w14:paraId="6D6485B8"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2016</w:t>
            </w:r>
          </w:p>
        </w:tc>
        <w:tc>
          <w:tcPr>
            <w:tcW w:w="2129" w:type="dxa"/>
            <w:tcBorders>
              <w:top w:val="nil"/>
              <w:left w:val="nil"/>
              <w:bottom w:val="nil"/>
              <w:right w:val="nil"/>
            </w:tcBorders>
            <w:shd w:val="clear" w:color="auto" w:fill="auto"/>
            <w:noWrap/>
            <w:vAlign w:val="bottom"/>
            <w:hideMark/>
          </w:tcPr>
          <w:p w14:paraId="446AC8B3"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45%</w:t>
            </w:r>
          </w:p>
        </w:tc>
        <w:tc>
          <w:tcPr>
            <w:tcW w:w="1658" w:type="dxa"/>
            <w:gridSpan w:val="2"/>
            <w:tcBorders>
              <w:top w:val="nil"/>
              <w:left w:val="nil"/>
              <w:bottom w:val="nil"/>
              <w:right w:val="nil"/>
            </w:tcBorders>
            <w:shd w:val="clear" w:color="auto" w:fill="auto"/>
            <w:noWrap/>
            <w:vAlign w:val="bottom"/>
            <w:hideMark/>
          </w:tcPr>
          <w:p w14:paraId="4FA24162"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434" w:type="dxa"/>
            <w:tcBorders>
              <w:top w:val="nil"/>
              <w:left w:val="nil"/>
              <w:bottom w:val="nil"/>
              <w:right w:val="nil"/>
            </w:tcBorders>
            <w:shd w:val="clear" w:color="auto" w:fill="auto"/>
            <w:noWrap/>
            <w:vAlign w:val="bottom"/>
            <w:hideMark/>
          </w:tcPr>
          <w:p w14:paraId="1EB33BF3"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276" w:type="dxa"/>
            <w:tcBorders>
              <w:top w:val="nil"/>
              <w:left w:val="nil"/>
              <w:bottom w:val="nil"/>
              <w:right w:val="nil"/>
            </w:tcBorders>
            <w:shd w:val="clear" w:color="auto" w:fill="auto"/>
            <w:noWrap/>
            <w:vAlign w:val="bottom"/>
            <w:hideMark/>
          </w:tcPr>
          <w:p w14:paraId="5D0F899B" w14:textId="77777777" w:rsidR="000D784C" w:rsidRPr="00F23E6D" w:rsidRDefault="000D784C" w:rsidP="00A72615">
            <w:pPr>
              <w:spacing w:line="276" w:lineRule="auto"/>
              <w:rPr>
                <w:rFonts w:ascii="Times New Roman" w:eastAsia="Times New Roman" w:hAnsi="Times New Roman" w:cs="Times New Roman"/>
                <w:lang w:eastAsia="en-US" w:bidi="ar-SA"/>
              </w:rPr>
            </w:pPr>
          </w:p>
        </w:tc>
      </w:tr>
      <w:tr w:rsidR="000D784C" w:rsidRPr="00F23E6D" w14:paraId="62706E4B" w14:textId="77777777" w:rsidTr="000D784C">
        <w:trPr>
          <w:trHeight w:val="280"/>
        </w:trPr>
        <w:tc>
          <w:tcPr>
            <w:tcW w:w="2436" w:type="dxa"/>
            <w:tcBorders>
              <w:top w:val="nil"/>
              <w:left w:val="nil"/>
              <w:bottom w:val="nil"/>
              <w:right w:val="nil"/>
            </w:tcBorders>
            <w:shd w:val="clear" w:color="auto" w:fill="auto"/>
            <w:noWrap/>
            <w:vAlign w:val="bottom"/>
            <w:hideMark/>
          </w:tcPr>
          <w:p w14:paraId="13662E01"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Monitor</w:t>
            </w:r>
          </w:p>
        </w:tc>
        <w:tc>
          <w:tcPr>
            <w:tcW w:w="1586" w:type="dxa"/>
            <w:gridSpan w:val="2"/>
            <w:tcBorders>
              <w:top w:val="nil"/>
              <w:left w:val="nil"/>
              <w:bottom w:val="nil"/>
              <w:right w:val="nil"/>
            </w:tcBorders>
            <w:shd w:val="clear" w:color="auto" w:fill="auto"/>
            <w:noWrap/>
            <w:vAlign w:val="bottom"/>
            <w:hideMark/>
          </w:tcPr>
          <w:p w14:paraId="51FF9ADA"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2018</w:t>
            </w:r>
          </w:p>
        </w:tc>
        <w:tc>
          <w:tcPr>
            <w:tcW w:w="2129" w:type="dxa"/>
            <w:tcBorders>
              <w:top w:val="nil"/>
              <w:left w:val="nil"/>
              <w:bottom w:val="nil"/>
              <w:right w:val="nil"/>
            </w:tcBorders>
            <w:shd w:val="clear" w:color="auto" w:fill="auto"/>
            <w:noWrap/>
            <w:vAlign w:val="bottom"/>
            <w:hideMark/>
          </w:tcPr>
          <w:p w14:paraId="55E489C4"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25%</w:t>
            </w:r>
          </w:p>
        </w:tc>
        <w:tc>
          <w:tcPr>
            <w:tcW w:w="1658" w:type="dxa"/>
            <w:gridSpan w:val="2"/>
            <w:tcBorders>
              <w:top w:val="nil"/>
              <w:left w:val="nil"/>
              <w:bottom w:val="nil"/>
              <w:right w:val="nil"/>
            </w:tcBorders>
            <w:shd w:val="clear" w:color="auto" w:fill="auto"/>
            <w:noWrap/>
            <w:vAlign w:val="bottom"/>
            <w:hideMark/>
          </w:tcPr>
          <w:p w14:paraId="3B86059C"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434" w:type="dxa"/>
            <w:tcBorders>
              <w:top w:val="nil"/>
              <w:left w:val="nil"/>
              <w:bottom w:val="nil"/>
              <w:right w:val="nil"/>
            </w:tcBorders>
            <w:shd w:val="clear" w:color="auto" w:fill="auto"/>
            <w:noWrap/>
            <w:vAlign w:val="bottom"/>
            <w:hideMark/>
          </w:tcPr>
          <w:p w14:paraId="1F92109C"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276" w:type="dxa"/>
            <w:tcBorders>
              <w:top w:val="nil"/>
              <w:left w:val="nil"/>
              <w:bottom w:val="nil"/>
              <w:right w:val="nil"/>
            </w:tcBorders>
            <w:shd w:val="clear" w:color="auto" w:fill="auto"/>
            <w:noWrap/>
            <w:vAlign w:val="bottom"/>
            <w:hideMark/>
          </w:tcPr>
          <w:p w14:paraId="4193E978" w14:textId="77777777" w:rsidR="000D784C" w:rsidRPr="00F23E6D" w:rsidRDefault="000D784C" w:rsidP="00A72615">
            <w:pPr>
              <w:spacing w:line="276" w:lineRule="auto"/>
              <w:rPr>
                <w:rFonts w:ascii="Times New Roman" w:eastAsia="Times New Roman" w:hAnsi="Times New Roman" w:cs="Times New Roman"/>
                <w:lang w:eastAsia="en-US" w:bidi="ar-SA"/>
              </w:rPr>
            </w:pPr>
          </w:p>
        </w:tc>
      </w:tr>
      <w:tr w:rsidR="000D784C" w:rsidRPr="00F23E6D" w14:paraId="21870BF9" w14:textId="77777777" w:rsidTr="000D784C">
        <w:trPr>
          <w:trHeight w:val="280"/>
        </w:trPr>
        <w:tc>
          <w:tcPr>
            <w:tcW w:w="2436" w:type="dxa"/>
            <w:tcBorders>
              <w:top w:val="nil"/>
              <w:left w:val="nil"/>
              <w:bottom w:val="nil"/>
              <w:right w:val="nil"/>
            </w:tcBorders>
            <w:shd w:val="clear" w:color="auto" w:fill="auto"/>
            <w:noWrap/>
            <w:vAlign w:val="bottom"/>
            <w:hideMark/>
          </w:tcPr>
          <w:p w14:paraId="0E441AF3"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Printer/copier</w:t>
            </w:r>
          </w:p>
        </w:tc>
        <w:tc>
          <w:tcPr>
            <w:tcW w:w="1586" w:type="dxa"/>
            <w:gridSpan w:val="2"/>
            <w:tcBorders>
              <w:top w:val="nil"/>
              <w:left w:val="nil"/>
              <w:bottom w:val="nil"/>
              <w:right w:val="nil"/>
            </w:tcBorders>
            <w:shd w:val="clear" w:color="auto" w:fill="auto"/>
            <w:noWrap/>
            <w:vAlign w:val="bottom"/>
            <w:hideMark/>
          </w:tcPr>
          <w:p w14:paraId="65CA9EBD"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2018</w:t>
            </w:r>
          </w:p>
        </w:tc>
        <w:tc>
          <w:tcPr>
            <w:tcW w:w="2129" w:type="dxa"/>
            <w:tcBorders>
              <w:top w:val="nil"/>
              <w:left w:val="nil"/>
              <w:bottom w:val="nil"/>
              <w:right w:val="nil"/>
            </w:tcBorders>
            <w:shd w:val="clear" w:color="auto" w:fill="auto"/>
            <w:noWrap/>
            <w:vAlign w:val="bottom"/>
            <w:hideMark/>
          </w:tcPr>
          <w:p w14:paraId="293896EC"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50%</w:t>
            </w:r>
          </w:p>
        </w:tc>
        <w:tc>
          <w:tcPr>
            <w:tcW w:w="1658" w:type="dxa"/>
            <w:gridSpan w:val="2"/>
            <w:tcBorders>
              <w:top w:val="nil"/>
              <w:left w:val="nil"/>
              <w:bottom w:val="nil"/>
              <w:right w:val="nil"/>
            </w:tcBorders>
            <w:shd w:val="clear" w:color="auto" w:fill="auto"/>
            <w:noWrap/>
            <w:vAlign w:val="bottom"/>
            <w:hideMark/>
          </w:tcPr>
          <w:p w14:paraId="7B02A28A"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434" w:type="dxa"/>
            <w:tcBorders>
              <w:top w:val="nil"/>
              <w:left w:val="nil"/>
              <w:bottom w:val="nil"/>
              <w:right w:val="nil"/>
            </w:tcBorders>
            <w:shd w:val="clear" w:color="auto" w:fill="auto"/>
            <w:noWrap/>
            <w:vAlign w:val="bottom"/>
            <w:hideMark/>
          </w:tcPr>
          <w:p w14:paraId="2F227AED"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276" w:type="dxa"/>
            <w:tcBorders>
              <w:top w:val="nil"/>
              <w:left w:val="nil"/>
              <w:bottom w:val="nil"/>
              <w:right w:val="nil"/>
            </w:tcBorders>
            <w:shd w:val="clear" w:color="auto" w:fill="auto"/>
            <w:noWrap/>
            <w:vAlign w:val="bottom"/>
            <w:hideMark/>
          </w:tcPr>
          <w:p w14:paraId="58D29410" w14:textId="77777777" w:rsidR="000D784C" w:rsidRPr="00F23E6D" w:rsidRDefault="000D784C" w:rsidP="00A72615">
            <w:pPr>
              <w:spacing w:line="276" w:lineRule="auto"/>
              <w:rPr>
                <w:rFonts w:ascii="Times New Roman" w:eastAsia="Times New Roman" w:hAnsi="Times New Roman" w:cs="Times New Roman"/>
                <w:lang w:eastAsia="en-US" w:bidi="ar-SA"/>
              </w:rPr>
            </w:pPr>
          </w:p>
        </w:tc>
      </w:tr>
      <w:tr w:rsidR="000D784C" w:rsidRPr="00F23E6D" w14:paraId="626FFD91" w14:textId="77777777" w:rsidTr="000D784C">
        <w:trPr>
          <w:trHeight w:val="280"/>
        </w:trPr>
        <w:tc>
          <w:tcPr>
            <w:tcW w:w="2436" w:type="dxa"/>
            <w:tcBorders>
              <w:top w:val="nil"/>
              <w:left w:val="nil"/>
              <w:bottom w:val="nil"/>
              <w:right w:val="nil"/>
            </w:tcBorders>
            <w:shd w:val="clear" w:color="auto" w:fill="auto"/>
            <w:noWrap/>
            <w:vAlign w:val="bottom"/>
            <w:hideMark/>
          </w:tcPr>
          <w:p w14:paraId="54E300FC"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Computer</w:t>
            </w:r>
          </w:p>
        </w:tc>
        <w:tc>
          <w:tcPr>
            <w:tcW w:w="1586" w:type="dxa"/>
            <w:gridSpan w:val="2"/>
            <w:tcBorders>
              <w:top w:val="nil"/>
              <w:left w:val="nil"/>
              <w:bottom w:val="nil"/>
              <w:right w:val="nil"/>
            </w:tcBorders>
            <w:shd w:val="clear" w:color="auto" w:fill="auto"/>
            <w:noWrap/>
            <w:vAlign w:val="bottom"/>
            <w:hideMark/>
          </w:tcPr>
          <w:p w14:paraId="23A99FDC"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2016</w:t>
            </w:r>
          </w:p>
        </w:tc>
        <w:tc>
          <w:tcPr>
            <w:tcW w:w="2129" w:type="dxa"/>
            <w:tcBorders>
              <w:top w:val="nil"/>
              <w:left w:val="nil"/>
              <w:bottom w:val="nil"/>
              <w:right w:val="nil"/>
            </w:tcBorders>
            <w:shd w:val="clear" w:color="auto" w:fill="auto"/>
            <w:noWrap/>
            <w:vAlign w:val="bottom"/>
            <w:hideMark/>
          </w:tcPr>
          <w:p w14:paraId="3D668C5F" w14:textId="77777777" w:rsidR="000D784C" w:rsidRPr="00F23E6D" w:rsidRDefault="000D784C"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50%</w:t>
            </w:r>
          </w:p>
        </w:tc>
        <w:tc>
          <w:tcPr>
            <w:tcW w:w="1658" w:type="dxa"/>
            <w:gridSpan w:val="2"/>
            <w:tcBorders>
              <w:top w:val="nil"/>
              <w:left w:val="nil"/>
              <w:bottom w:val="nil"/>
              <w:right w:val="nil"/>
            </w:tcBorders>
            <w:shd w:val="clear" w:color="auto" w:fill="auto"/>
            <w:noWrap/>
            <w:vAlign w:val="bottom"/>
            <w:hideMark/>
          </w:tcPr>
          <w:p w14:paraId="2223DD00"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434" w:type="dxa"/>
            <w:tcBorders>
              <w:top w:val="nil"/>
              <w:left w:val="nil"/>
              <w:bottom w:val="nil"/>
              <w:right w:val="nil"/>
            </w:tcBorders>
            <w:shd w:val="clear" w:color="auto" w:fill="auto"/>
            <w:noWrap/>
            <w:vAlign w:val="bottom"/>
            <w:hideMark/>
          </w:tcPr>
          <w:p w14:paraId="54E1FD39" w14:textId="77777777" w:rsidR="000D784C" w:rsidRPr="00F23E6D" w:rsidRDefault="000D784C" w:rsidP="00A72615">
            <w:pPr>
              <w:spacing w:line="276" w:lineRule="auto"/>
              <w:rPr>
                <w:rFonts w:ascii="Times New Roman" w:eastAsia="Times New Roman" w:hAnsi="Times New Roman" w:cs="Times New Roman"/>
                <w:lang w:eastAsia="en-US" w:bidi="ar-SA"/>
              </w:rPr>
            </w:pPr>
          </w:p>
        </w:tc>
        <w:tc>
          <w:tcPr>
            <w:tcW w:w="1276" w:type="dxa"/>
            <w:tcBorders>
              <w:top w:val="nil"/>
              <w:left w:val="nil"/>
              <w:bottom w:val="nil"/>
              <w:right w:val="nil"/>
            </w:tcBorders>
            <w:shd w:val="clear" w:color="auto" w:fill="auto"/>
            <w:noWrap/>
            <w:vAlign w:val="bottom"/>
            <w:hideMark/>
          </w:tcPr>
          <w:p w14:paraId="7CBC64B2" w14:textId="77777777" w:rsidR="000D784C" w:rsidRPr="00F23E6D" w:rsidRDefault="000D784C" w:rsidP="00A72615">
            <w:pPr>
              <w:spacing w:line="276" w:lineRule="auto"/>
              <w:rPr>
                <w:rFonts w:ascii="Times New Roman" w:eastAsia="Times New Roman" w:hAnsi="Times New Roman" w:cs="Times New Roman"/>
                <w:lang w:eastAsia="en-US" w:bidi="ar-SA"/>
              </w:rPr>
            </w:pPr>
          </w:p>
        </w:tc>
      </w:tr>
    </w:tbl>
    <w:p w14:paraId="161A4AF0" w14:textId="77777777" w:rsidR="003E109A" w:rsidRPr="00F23E6D" w:rsidRDefault="003E109A" w:rsidP="00A72615">
      <w:pPr>
        <w:pStyle w:val="TextBody"/>
        <w:spacing w:line="276" w:lineRule="auto"/>
        <w:rPr>
          <w:rFonts w:ascii="Times New Roman" w:eastAsia="Times New Roman" w:hAnsi="Times New Roman" w:cs="Times New Roman"/>
          <w:lang w:eastAsia="en-US" w:bidi="ar-SA"/>
        </w:rPr>
      </w:pPr>
    </w:p>
    <w:p w14:paraId="31B59D49" w14:textId="5A202CD4" w:rsidR="00833D77" w:rsidRPr="00F23E6D" w:rsidRDefault="00AD2726" w:rsidP="00A72615">
      <w:pPr>
        <w:pStyle w:val="Heading2"/>
        <w:spacing w:line="276" w:lineRule="auto"/>
        <w:rPr>
          <w:rFonts w:ascii="Times New Roman" w:hAnsi="Times New Roman" w:cs="Times New Roman"/>
          <w:sz w:val="24"/>
          <w:szCs w:val="24"/>
        </w:rPr>
      </w:pPr>
      <w:r w:rsidRPr="00F23E6D">
        <w:rPr>
          <w:rFonts w:ascii="Times New Roman" w:hAnsi="Times New Roman" w:cs="Times New Roman"/>
          <w:sz w:val="24"/>
          <w:szCs w:val="24"/>
        </w:rPr>
        <w:t>Building Codes – Residential and Commercial</w:t>
      </w:r>
    </w:p>
    <w:p w14:paraId="1F5FD935" w14:textId="41F4EC02" w:rsidR="00833D77" w:rsidRPr="00F23E6D" w:rsidRDefault="00C278E1" w:rsidP="00A72615">
      <w:pPr>
        <w:pStyle w:val="TextBody"/>
        <w:spacing w:line="276" w:lineRule="auto"/>
        <w:rPr>
          <w:rFonts w:ascii="Times New Roman" w:hAnsi="Times New Roman" w:cs="Times New Roman"/>
        </w:rPr>
      </w:pPr>
      <w:r w:rsidRPr="00F23E6D">
        <w:rPr>
          <w:rFonts w:ascii="Times New Roman" w:hAnsi="Times New Roman" w:cs="Times New Roman"/>
        </w:rPr>
        <w:t>The</w:t>
      </w:r>
      <w:r w:rsidR="008316E1" w:rsidRPr="00F23E6D">
        <w:rPr>
          <w:rFonts w:ascii="Times New Roman" w:hAnsi="Times New Roman" w:cs="Times New Roman"/>
        </w:rPr>
        <w:t xml:space="preserve"> s</w:t>
      </w:r>
      <w:r w:rsidR="000D784C" w:rsidRPr="00F23E6D">
        <w:rPr>
          <w:rFonts w:ascii="Times New Roman" w:hAnsi="Times New Roman" w:cs="Times New Roman"/>
        </w:rPr>
        <w:t xml:space="preserve">tricter residential and commercial building codes </w:t>
      </w:r>
      <w:r w:rsidR="008316E1" w:rsidRPr="00F23E6D">
        <w:rPr>
          <w:rFonts w:ascii="Times New Roman" w:hAnsi="Times New Roman" w:cs="Times New Roman"/>
        </w:rPr>
        <w:t xml:space="preserve">that are modeled in the </w:t>
      </w:r>
      <w:r w:rsidR="00057733" w:rsidRPr="00F23E6D">
        <w:rPr>
          <w:rFonts w:ascii="Times New Roman" w:hAnsi="Times New Roman" w:cs="Times New Roman"/>
          <w:b/>
        </w:rPr>
        <w:t>High Demand Tech</w:t>
      </w:r>
      <w:r w:rsidR="008316E1" w:rsidRPr="00F23E6D">
        <w:rPr>
          <w:rFonts w:ascii="Times New Roman" w:hAnsi="Times New Roman" w:cs="Times New Roman"/>
          <w:b/>
        </w:rPr>
        <w:t>nology</w:t>
      </w:r>
      <w:r w:rsidR="008316E1" w:rsidRPr="00F23E6D">
        <w:rPr>
          <w:rFonts w:ascii="Times New Roman" w:hAnsi="Times New Roman" w:cs="Times New Roman"/>
        </w:rPr>
        <w:t xml:space="preserve"> side case</w:t>
      </w:r>
      <w:r w:rsidR="00AD2726" w:rsidRPr="00F23E6D">
        <w:rPr>
          <w:rFonts w:ascii="Times New Roman" w:hAnsi="Times New Roman" w:cs="Times New Roman"/>
        </w:rPr>
        <w:t xml:space="preserve">. </w:t>
      </w:r>
      <w:r w:rsidR="00344AFD" w:rsidRPr="00F23E6D">
        <w:rPr>
          <w:rFonts w:ascii="Times New Roman" w:hAnsi="Times New Roman" w:cs="Times New Roman"/>
        </w:rPr>
        <w:t xml:space="preserve">We developed the ability to model </w:t>
      </w:r>
      <w:r w:rsidR="008316E1" w:rsidRPr="00F23E6D">
        <w:rPr>
          <w:rFonts w:ascii="Times New Roman" w:hAnsi="Times New Roman" w:cs="Times New Roman"/>
        </w:rPr>
        <w:t>the introduction of two new</w:t>
      </w:r>
      <w:r w:rsidR="00A301B0" w:rsidRPr="00F23E6D">
        <w:rPr>
          <w:rFonts w:ascii="Times New Roman" w:hAnsi="Times New Roman" w:cs="Times New Roman"/>
        </w:rPr>
        <w:t xml:space="preserve"> integrated heat pump air conditioning </w:t>
      </w:r>
      <w:r w:rsidR="008316E1" w:rsidRPr="00F23E6D">
        <w:rPr>
          <w:rFonts w:ascii="Times New Roman" w:hAnsi="Times New Roman" w:cs="Times New Roman"/>
        </w:rPr>
        <w:t>units</w:t>
      </w:r>
      <w:r w:rsidR="00A301B0" w:rsidRPr="00F23E6D">
        <w:rPr>
          <w:rFonts w:ascii="Times New Roman" w:hAnsi="Times New Roman" w:cs="Times New Roman"/>
        </w:rPr>
        <w:t xml:space="preserve"> for rooftop </w:t>
      </w:r>
      <w:r w:rsidR="008316E1" w:rsidRPr="00F23E6D">
        <w:rPr>
          <w:rFonts w:ascii="Times New Roman" w:hAnsi="Times New Roman" w:cs="Times New Roman"/>
        </w:rPr>
        <w:t xml:space="preserve">use in </w:t>
      </w:r>
      <w:r w:rsidR="00A301B0" w:rsidRPr="00F23E6D">
        <w:rPr>
          <w:rFonts w:ascii="Times New Roman" w:hAnsi="Times New Roman" w:cs="Times New Roman"/>
        </w:rPr>
        <w:t xml:space="preserve">the commercial sector. The following table shows how </w:t>
      </w:r>
      <w:r w:rsidR="008316E1" w:rsidRPr="00F23E6D">
        <w:rPr>
          <w:rFonts w:ascii="Times New Roman" w:hAnsi="Times New Roman" w:cs="Times New Roman"/>
        </w:rPr>
        <w:t xml:space="preserve">the </w:t>
      </w:r>
      <w:r w:rsidR="00A301B0" w:rsidRPr="00F23E6D">
        <w:rPr>
          <w:rFonts w:ascii="Times New Roman" w:hAnsi="Times New Roman" w:cs="Times New Roman"/>
        </w:rPr>
        <w:t xml:space="preserve">two new rooftop units could be added to the ketch file in the commercial sector. This </w:t>
      </w:r>
      <w:r w:rsidR="008316E1" w:rsidRPr="00F23E6D">
        <w:rPr>
          <w:rFonts w:ascii="Times New Roman" w:hAnsi="Times New Roman" w:cs="Times New Roman"/>
        </w:rPr>
        <w:t xml:space="preserve">was not implemented, but it </w:t>
      </w:r>
      <w:r w:rsidR="00B9750B" w:rsidRPr="00F23E6D">
        <w:rPr>
          <w:rFonts w:ascii="Times New Roman" w:hAnsi="Times New Roman" w:cs="Times New Roman"/>
        </w:rPr>
        <w:t>could be explored in the future</w:t>
      </w:r>
      <w:r w:rsidR="0071347D" w:rsidRPr="00F23E6D">
        <w:rPr>
          <w:rFonts w:ascii="Times New Roman" w:hAnsi="Times New Roman" w:cs="Times New Roman"/>
        </w:rPr>
        <w:t xml:space="preserve"> and has been implemented in another Georgia Tech research project.</w:t>
      </w:r>
    </w:p>
    <w:p w14:paraId="3B1C7802" w14:textId="77777777" w:rsidR="00833D77" w:rsidRPr="00F23E6D" w:rsidRDefault="00AD2726" w:rsidP="00A72615">
      <w:pPr>
        <w:pStyle w:val="TextBody"/>
        <w:spacing w:line="276" w:lineRule="auto"/>
        <w:rPr>
          <w:rFonts w:ascii="Times New Roman" w:hAnsi="Times New Roman" w:cs="Times New Roman"/>
        </w:rPr>
      </w:pPr>
      <w:r w:rsidRPr="00F23E6D">
        <w:rPr>
          <w:rFonts w:ascii="Times New Roman" w:hAnsi="Times New Roman" w:cs="Times New Roman"/>
          <w:noProof/>
          <w:lang w:eastAsia="en-US" w:bidi="ar-SA"/>
        </w:rPr>
        <w:lastRenderedPageBreak/>
        <w:drawing>
          <wp:anchor distT="0" distB="0" distL="0" distR="0" simplePos="0" relativeHeight="251669504" behindDoc="0" locked="0" layoutInCell="1" allowOverlap="1" wp14:anchorId="5997B145" wp14:editId="2B788DCB">
            <wp:simplePos x="0" y="0"/>
            <wp:positionH relativeFrom="column">
              <wp:align>center</wp:align>
            </wp:positionH>
            <wp:positionV relativeFrom="paragraph">
              <wp:align>top</wp:align>
            </wp:positionV>
            <wp:extent cx="5579745" cy="4343400"/>
            <wp:effectExtent l="0" t="0" r="0" b="0"/>
            <wp:wrapTopAndBottom/>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7"/>
                    <a:srcRect l="9935" r="9935"/>
                    <a:stretch>
                      <a:fillRect/>
                    </a:stretch>
                  </pic:blipFill>
                  <pic:spPr bwMode="auto">
                    <a:xfrm>
                      <a:off x="0" y="0"/>
                      <a:ext cx="5580262" cy="434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5375AD" w14:textId="1F649516" w:rsidR="00833D77" w:rsidRPr="00F23E6D" w:rsidRDefault="00AD2726" w:rsidP="00A72615">
      <w:pPr>
        <w:pStyle w:val="Heading2"/>
        <w:spacing w:line="276" w:lineRule="auto"/>
        <w:rPr>
          <w:rFonts w:ascii="Times New Roman" w:hAnsi="Times New Roman" w:cs="Times New Roman"/>
          <w:sz w:val="24"/>
          <w:szCs w:val="24"/>
        </w:rPr>
      </w:pPr>
      <w:r w:rsidRPr="00F23E6D">
        <w:rPr>
          <w:rFonts w:ascii="Times New Roman" w:hAnsi="Times New Roman" w:cs="Times New Roman"/>
          <w:sz w:val="24"/>
          <w:szCs w:val="24"/>
        </w:rPr>
        <w:t>Industrial CHP Investment Tax Credit; Stricter Industrial Motor Standards</w:t>
      </w:r>
    </w:p>
    <w:p w14:paraId="1DF64F5E" w14:textId="66B57121" w:rsidR="0071347D" w:rsidRPr="00F23E6D" w:rsidRDefault="0071347D" w:rsidP="00A72615">
      <w:pPr>
        <w:pStyle w:val="TextBody"/>
        <w:spacing w:line="276" w:lineRule="auto"/>
        <w:rPr>
          <w:rFonts w:ascii="Times New Roman" w:hAnsi="Times New Roman" w:cs="Times New Roman"/>
        </w:rPr>
      </w:pPr>
      <w:r w:rsidRPr="00F23E6D">
        <w:rPr>
          <w:rFonts w:ascii="Times New Roman" w:hAnsi="Times New Roman" w:cs="Times New Roman"/>
        </w:rPr>
        <w:t>This following set of industrial policies was modeled as follows, using specifications in the “</w:t>
      </w:r>
      <w:r w:rsidRPr="00F23E6D">
        <w:rPr>
          <w:rFonts w:ascii="Times New Roman" w:hAnsi="Times New Roman" w:cs="Times New Roman"/>
          <w:color w:val="02152C"/>
          <w:u w:color="02152C"/>
          <w:lang w:bidi="ar-SA"/>
        </w:rPr>
        <w:t>scedes.indhech.d111111x.txt”</w:t>
      </w:r>
      <w:r w:rsidRPr="00F23E6D">
        <w:rPr>
          <w:rFonts w:ascii="Times New Roman" w:hAnsi="Times New Roman" w:cs="Times New Roman"/>
          <w:color w:val="02152C"/>
          <w:u w:val="single" w:color="02152C"/>
          <w:lang w:bidi="ar-SA"/>
        </w:rPr>
        <w:t xml:space="preserve"> </w:t>
      </w:r>
      <w:proofErr w:type="spellStart"/>
      <w:r w:rsidRPr="00F23E6D">
        <w:rPr>
          <w:rFonts w:ascii="Times New Roman" w:hAnsi="Times New Roman" w:cs="Times New Roman"/>
        </w:rPr>
        <w:t>scedes</w:t>
      </w:r>
      <w:proofErr w:type="spellEnd"/>
      <w:r w:rsidRPr="00F23E6D">
        <w:rPr>
          <w:rFonts w:ascii="Times New Roman" w:hAnsi="Times New Roman" w:cs="Times New Roman"/>
        </w:rPr>
        <w:t xml:space="preserve"> file:</w:t>
      </w:r>
    </w:p>
    <w:p w14:paraId="1148BA66" w14:textId="088DD93B" w:rsidR="00833D77" w:rsidRPr="00F23E6D" w:rsidRDefault="005168F0" w:rsidP="00A72615">
      <w:pPr>
        <w:pStyle w:val="TextBody"/>
        <w:spacing w:line="276" w:lineRule="auto"/>
        <w:rPr>
          <w:rFonts w:ascii="Times New Roman" w:hAnsi="Times New Roman" w:cs="Times New Roman"/>
        </w:rPr>
      </w:pPr>
      <w:r w:rsidRPr="00F23E6D">
        <w:rPr>
          <w:rFonts w:ascii="Times New Roman" w:hAnsi="Times New Roman" w:cs="Times New Roman"/>
        </w:rPr>
        <w:t>30% investment</w:t>
      </w:r>
      <w:r w:rsidR="00AD2726" w:rsidRPr="00F23E6D">
        <w:rPr>
          <w:rFonts w:ascii="Times New Roman" w:hAnsi="Times New Roman" w:cs="Times New Roman"/>
        </w:rPr>
        <w:t xml:space="preserve"> tax credits </w:t>
      </w:r>
      <w:r w:rsidRPr="00F23E6D">
        <w:rPr>
          <w:rFonts w:ascii="Times New Roman" w:hAnsi="Times New Roman" w:cs="Times New Roman"/>
        </w:rPr>
        <w:t xml:space="preserve">for CHP </w:t>
      </w:r>
      <w:r w:rsidR="00AD2726" w:rsidRPr="00F23E6D">
        <w:rPr>
          <w:rFonts w:ascii="Times New Roman" w:hAnsi="Times New Roman" w:cs="Times New Roman"/>
        </w:rPr>
        <w:t>are extended through 2040</w:t>
      </w:r>
    </w:p>
    <w:p w14:paraId="2E238E15" w14:textId="77777777" w:rsidR="00833D77" w:rsidRPr="00F23E6D" w:rsidRDefault="00AD2726" w:rsidP="00A72615">
      <w:pPr>
        <w:pStyle w:val="TextBody"/>
        <w:spacing w:line="276" w:lineRule="auto"/>
        <w:rPr>
          <w:rFonts w:ascii="Times New Roman" w:hAnsi="Times New Roman" w:cs="Times New Roman"/>
        </w:rPr>
      </w:pPr>
      <w:r w:rsidRPr="00F23E6D">
        <w:rPr>
          <w:rFonts w:ascii="Times New Roman" w:hAnsi="Times New Roman" w:cs="Times New Roman"/>
        </w:rPr>
        <w:t>The rate of decline for CHP system costs is increased</w:t>
      </w:r>
    </w:p>
    <w:p w14:paraId="250E89DB" w14:textId="77777777" w:rsidR="00833D77" w:rsidRPr="00F23E6D" w:rsidRDefault="00AD2726" w:rsidP="00A72615">
      <w:pPr>
        <w:pStyle w:val="TextBody"/>
        <w:spacing w:line="276" w:lineRule="auto"/>
        <w:rPr>
          <w:rFonts w:ascii="Times New Roman" w:hAnsi="Times New Roman" w:cs="Times New Roman"/>
        </w:rPr>
      </w:pPr>
      <w:r w:rsidRPr="00F23E6D">
        <w:rPr>
          <w:rFonts w:ascii="Times New Roman" w:hAnsi="Times New Roman" w:cs="Times New Roman"/>
        </w:rPr>
        <w:t>The pulp and paper industry's supply of biomass is increased</w:t>
      </w:r>
      <w:r w:rsidRPr="00F23E6D">
        <w:rPr>
          <w:rStyle w:val="FootnoteAnchor"/>
          <w:rFonts w:ascii="Times New Roman" w:hAnsi="Times New Roman" w:cs="Times New Roman"/>
        </w:rPr>
        <w:footnoteReference w:id="3"/>
      </w:r>
    </w:p>
    <w:p w14:paraId="39CB6250" w14:textId="2E8CCA48" w:rsidR="00833D77" w:rsidRPr="00F23E6D" w:rsidRDefault="00AD2726" w:rsidP="00A72615">
      <w:pPr>
        <w:pStyle w:val="TextBody"/>
        <w:spacing w:line="276" w:lineRule="auto"/>
        <w:rPr>
          <w:rFonts w:ascii="Times New Roman" w:hAnsi="Times New Roman" w:cs="Times New Roman"/>
        </w:rPr>
      </w:pPr>
      <w:r w:rsidRPr="00F23E6D">
        <w:rPr>
          <w:rFonts w:ascii="Times New Roman" w:hAnsi="Times New Roman" w:cs="Times New Roman"/>
        </w:rPr>
        <w:t>Enables EIA's “high-tech” assumptions, which include</w:t>
      </w:r>
      <w:r w:rsidR="001840B9" w:rsidRPr="00F23E6D">
        <w:rPr>
          <w:rFonts w:ascii="Times New Roman" w:hAnsi="Times New Roman" w:cs="Times New Roman"/>
        </w:rPr>
        <w:t xml:space="preserve">s triggering a high-tech flag which increases the speed of cost declines for CHP systems and improves </w:t>
      </w:r>
      <w:r w:rsidRPr="00F23E6D">
        <w:rPr>
          <w:rFonts w:ascii="Times New Roman" w:hAnsi="Times New Roman" w:cs="Times New Roman"/>
        </w:rPr>
        <w:t>electric motor efficiencies</w:t>
      </w:r>
      <w:r w:rsidR="001840B9" w:rsidRPr="00F23E6D">
        <w:rPr>
          <w:rFonts w:ascii="Times New Roman" w:hAnsi="Times New Roman" w:cs="Times New Roman"/>
        </w:rPr>
        <w:t>.</w:t>
      </w:r>
    </w:p>
    <w:p w14:paraId="01893175" w14:textId="77777777" w:rsidR="001840B9" w:rsidRPr="00F23E6D" w:rsidRDefault="001840B9" w:rsidP="00A72615">
      <w:pPr>
        <w:pStyle w:val="TextBody"/>
        <w:spacing w:line="276" w:lineRule="auto"/>
        <w:rPr>
          <w:rFonts w:ascii="Times New Roman" w:hAnsi="Times New Roman" w:cs="Times New Roman"/>
        </w:rPr>
      </w:pPr>
      <w:r w:rsidRPr="00F23E6D">
        <w:rPr>
          <w:rFonts w:ascii="Times New Roman" w:hAnsi="Times New Roman" w:cs="Times New Roman"/>
        </w:rPr>
        <w:t xml:space="preserve">The </w:t>
      </w:r>
      <w:r w:rsidRPr="00F23E6D">
        <w:rPr>
          <w:rFonts w:ascii="Times New Roman" w:hAnsi="Times New Roman" w:cs="Times New Roman"/>
          <w:b/>
        </w:rPr>
        <w:t>extended policies</w:t>
      </w:r>
      <w:r w:rsidRPr="00F23E6D">
        <w:rPr>
          <w:rFonts w:ascii="Times New Roman" w:hAnsi="Times New Roman" w:cs="Times New Roman"/>
        </w:rPr>
        <w:t xml:space="preserve"> side case extends the investment tax credits for CHP. </w:t>
      </w:r>
    </w:p>
    <w:p w14:paraId="42FEEC7D" w14:textId="7E972D7E" w:rsidR="00A301B0" w:rsidRPr="00F23E6D" w:rsidRDefault="00A301B0" w:rsidP="00A72615">
      <w:pPr>
        <w:pStyle w:val="TextBody"/>
        <w:spacing w:line="276" w:lineRule="auto"/>
        <w:rPr>
          <w:rFonts w:ascii="Times New Roman" w:hAnsi="Times New Roman" w:cs="Times New Roman"/>
        </w:rPr>
      </w:pPr>
      <w:r w:rsidRPr="00F23E6D">
        <w:rPr>
          <w:rFonts w:ascii="Times New Roman" w:hAnsi="Times New Roman" w:cs="Times New Roman"/>
        </w:rPr>
        <w:t xml:space="preserve">The </w:t>
      </w:r>
      <w:r w:rsidR="00057733" w:rsidRPr="00F23E6D">
        <w:rPr>
          <w:rFonts w:ascii="Times New Roman" w:hAnsi="Times New Roman" w:cs="Times New Roman"/>
          <w:b/>
        </w:rPr>
        <w:t>High Demand Technology</w:t>
      </w:r>
      <w:r w:rsidRPr="00F23E6D">
        <w:rPr>
          <w:rFonts w:ascii="Times New Roman" w:hAnsi="Times New Roman" w:cs="Times New Roman"/>
        </w:rPr>
        <w:t xml:space="preserve"> </w:t>
      </w:r>
      <w:r w:rsidR="001840B9" w:rsidRPr="00F23E6D">
        <w:rPr>
          <w:rFonts w:ascii="Times New Roman" w:hAnsi="Times New Roman" w:cs="Times New Roman"/>
        </w:rPr>
        <w:t xml:space="preserve">side case </w:t>
      </w:r>
      <w:r w:rsidRPr="00F23E6D">
        <w:rPr>
          <w:rFonts w:ascii="Times New Roman" w:hAnsi="Times New Roman" w:cs="Times New Roman"/>
        </w:rPr>
        <w:t xml:space="preserve">assumptions include more efficient CHP systems, motors, and improved technology and process efficiency. </w:t>
      </w:r>
    </w:p>
    <w:p w14:paraId="5FE4CCAB" w14:textId="678C9F53" w:rsidR="00A301B0" w:rsidRPr="00F23E6D" w:rsidRDefault="00A301B0" w:rsidP="00A72615">
      <w:pPr>
        <w:pStyle w:val="TextBody"/>
        <w:spacing w:line="276" w:lineRule="auto"/>
        <w:rPr>
          <w:rFonts w:ascii="Times New Roman" w:hAnsi="Times New Roman" w:cs="Times New Roman"/>
        </w:rPr>
      </w:pPr>
      <w:r w:rsidRPr="00F23E6D">
        <w:rPr>
          <w:rFonts w:ascii="Times New Roman" w:hAnsi="Times New Roman" w:cs="Times New Roman"/>
        </w:rPr>
        <w:t xml:space="preserve">The </w:t>
      </w:r>
      <w:r w:rsidRPr="00F23E6D">
        <w:rPr>
          <w:rFonts w:ascii="Times New Roman" w:hAnsi="Times New Roman" w:cs="Times New Roman"/>
          <w:b/>
        </w:rPr>
        <w:t>low-cost renewables</w:t>
      </w:r>
      <w:r w:rsidRPr="00F23E6D">
        <w:rPr>
          <w:rFonts w:ascii="Times New Roman" w:hAnsi="Times New Roman" w:cs="Times New Roman"/>
        </w:rPr>
        <w:t xml:space="preserve"> side case increases biomass supply for CHP.</w:t>
      </w:r>
    </w:p>
    <w:p w14:paraId="067C891C" w14:textId="70B83F30" w:rsidR="00A301B0" w:rsidRPr="00F23E6D" w:rsidRDefault="00A301B0" w:rsidP="00A72615">
      <w:pPr>
        <w:pStyle w:val="Heading2"/>
        <w:spacing w:line="276" w:lineRule="auto"/>
        <w:rPr>
          <w:rFonts w:ascii="Times New Roman" w:hAnsi="Times New Roman" w:cs="Times New Roman"/>
          <w:sz w:val="24"/>
          <w:szCs w:val="24"/>
        </w:rPr>
      </w:pPr>
      <w:r w:rsidRPr="00F23E6D">
        <w:rPr>
          <w:rFonts w:ascii="Times New Roman" w:hAnsi="Times New Roman" w:cs="Times New Roman"/>
          <w:sz w:val="24"/>
          <w:szCs w:val="24"/>
        </w:rPr>
        <w:lastRenderedPageBreak/>
        <w:t>Increased Energy Efficiency in Five Manufacturing Subsectors</w:t>
      </w:r>
    </w:p>
    <w:p w14:paraId="0DD5E552" w14:textId="77777777" w:rsidR="00A301B0" w:rsidRPr="00F23E6D" w:rsidRDefault="00A301B0" w:rsidP="00A72615">
      <w:pPr>
        <w:pStyle w:val="TextBody"/>
        <w:spacing w:line="276" w:lineRule="auto"/>
        <w:rPr>
          <w:rFonts w:ascii="Times New Roman" w:hAnsi="Times New Roman" w:cs="Times New Roman"/>
        </w:rPr>
      </w:pPr>
      <w:r w:rsidRPr="00F23E6D">
        <w:rPr>
          <w:rFonts w:ascii="Times New Roman" w:hAnsi="Times New Roman" w:cs="Times New Roman"/>
        </w:rPr>
        <w:t>Technology possibility curves for five major energy-consuming industries are improved to levels consistent with studies of the economic potential for industry</w:t>
      </w:r>
    </w:p>
    <w:p w14:paraId="6334FDC9" w14:textId="15B2E199" w:rsidR="0089538B" w:rsidRPr="00F23E6D" w:rsidRDefault="005168F0" w:rsidP="00A72615">
      <w:pPr>
        <w:pStyle w:val="TextBody"/>
        <w:spacing w:line="276" w:lineRule="auto"/>
        <w:rPr>
          <w:rFonts w:ascii="Times New Roman" w:hAnsi="Times New Roman" w:cs="Times New Roman"/>
        </w:rPr>
      </w:pPr>
      <w:r w:rsidRPr="00F23E6D">
        <w:rPr>
          <w:rFonts w:ascii="Times New Roman" w:hAnsi="Times New Roman" w:cs="Times New Roman"/>
        </w:rPr>
        <w:t>To reach the GHG emission standards for 5 manufacturing subsectors, greater EE was modeled by modifying the AEO NEMS technology possibility curves (TPCs) and unit energy consumption (UEC) values to meet the energy consumption reductions shown in the table below.</w:t>
      </w:r>
      <w:r w:rsidR="001840B9" w:rsidRPr="00F23E6D">
        <w:rPr>
          <w:rFonts w:ascii="Times New Roman" w:hAnsi="Times New Roman" w:cs="Times New Roman"/>
        </w:rPr>
        <w:t xml:space="preserve"> Existing equipment is assumed to achieve 80 percent of the total change, which is then divided out to yield the annual improvement figure. New equipment is modeled as achieving a technology policy curve (TPC) 50 percent improved over the existing equipment. High and Low cases were developed, based on the highest and lowest economic potentials reported in Brown, Cox, and Cortes (2010):</w:t>
      </w:r>
    </w:p>
    <w:p w14:paraId="7FBD182B" w14:textId="0A856A20" w:rsidR="0089538B" w:rsidRPr="00F23E6D" w:rsidRDefault="00C278E1" w:rsidP="00A72615">
      <w:pPr>
        <w:pStyle w:val="TextBody"/>
        <w:spacing w:line="276" w:lineRule="auto"/>
        <w:rPr>
          <w:rFonts w:ascii="Times New Roman" w:hAnsi="Times New Roman" w:cs="Times New Roman"/>
        </w:rPr>
      </w:pPr>
      <w:r w:rsidRPr="00F23E6D">
        <w:rPr>
          <w:rFonts w:ascii="Times New Roman" w:hAnsi="Times New Roman" w:cs="Times New Roman"/>
        </w:rPr>
        <w:t xml:space="preserve">Table 2. </w:t>
      </w:r>
      <w:r w:rsidR="0089538B" w:rsidRPr="00F23E6D">
        <w:rPr>
          <w:rFonts w:ascii="Times New Roman" w:hAnsi="Times New Roman" w:cs="Times New Roman"/>
        </w:rPr>
        <w:t>Increased Energy Efficiency in Five Manufacturing Subsectors</w:t>
      </w:r>
    </w:p>
    <w:tbl>
      <w:tblPr>
        <w:tblStyle w:val="TableGrid"/>
        <w:tblW w:w="5000" w:type="pct"/>
        <w:tblLook w:val="04A0" w:firstRow="1" w:lastRow="0" w:firstColumn="1" w:lastColumn="0" w:noHBand="0" w:noVBand="1"/>
      </w:tblPr>
      <w:tblGrid>
        <w:gridCol w:w="2469"/>
        <w:gridCol w:w="1756"/>
        <w:gridCol w:w="1169"/>
        <w:gridCol w:w="1670"/>
        <w:gridCol w:w="1563"/>
        <w:gridCol w:w="1335"/>
      </w:tblGrid>
      <w:tr w:rsidR="00C278E1" w:rsidRPr="00F23E6D" w14:paraId="481D5177" w14:textId="77777777" w:rsidTr="00C278E1">
        <w:trPr>
          <w:trHeight w:val="300"/>
        </w:trPr>
        <w:tc>
          <w:tcPr>
            <w:tcW w:w="1052" w:type="pct"/>
            <w:noWrap/>
            <w:hideMark/>
          </w:tcPr>
          <w:p w14:paraId="6C40C6C5" w14:textId="77777777" w:rsidR="00C278E1" w:rsidRPr="00F23E6D" w:rsidRDefault="00C278E1" w:rsidP="00A72615">
            <w:pPr>
              <w:spacing w:line="276" w:lineRule="auto"/>
              <w:rPr>
                <w:rFonts w:ascii="Times New Roman" w:eastAsia="Times New Roman" w:hAnsi="Times New Roman" w:cs="Times New Roman"/>
                <w:b/>
                <w:bCs/>
              </w:rPr>
            </w:pPr>
            <w:r w:rsidRPr="00F23E6D">
              <w:rPr>
                <w:rFonts w:ascii="Times New Roman" w:eastAsia="Times New Roman" w:hAnsi="Times New Roman" w:cs="Times New Roman"/>
                <w:b/>
                <w:bCs/>
              </w:rPr>
              <w:t>HIGH</w:t>
            </w:r>
          </w:p>
        </w:tc>
        <w:tc>
          <w:tcPr>
            <w:tcW w:w="891" w:type="pct"/>
            <w:noWrap/>
            <w:hideMark/>
          </w:tcPr>
          <w:p w14:paraId="0C16744C"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Bulk Chemicals</w:t>
            </w:r>
          </w:p>
        </w:tc>
        <w:tc>
          <w:tcPr>
            <w:tcW w:w="764" w:type="pct"/>
            <w:noWrap/>
            <w:hideMark/>
          </w:tcPr>
          <w:p w14:paraId="54783D7B"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Refining</w:t>
            </w:r>
          </w:p>
        </w:tc>
        <w:tc>
          <w:tcPr>
            <w:tcW w:w="764" w:type="pct"/>
            <w:noWrap/>
            <w:hideMark/>
          </w:tcPr>
          <w:p w14:paraId="23DB8887"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Pulp and Paper</w:t>
            </w:r>
          </w:p>
        </w:tc>
        <w:tc>
          <w:tcPr>
            <w:tcW w:w="764" w:type="pct"/>
            <w:noWrap/>
            <w:hideMark/>
          </w:tcPr>
          <w:p w14:paraId="38116BA6"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Iron and Steel</w:t>
            </w:r>
          </w:p>
        </w:tc>
        <w:tc>
          <w:tcPr>
            <w:tcW w:w="764" w:type="pct"/>
            <w:noWrap/>
            <w:hideMark/>
          </w:tcPr>
          <w:p w14:paraId="0F5B9986"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Cement</w:t>
            </w:r>
          </w:p>
        </w:tc>
      </w:tr>
      <w:tr w:rsidR="00C278E1" w:rsidRPr="00F23E6D" w14:paraId="128AC9B0" w14:textId="77777777" w:rsidTr="00C278E1">
        <w:trPr>
          <w:trHeight w:val="300"/>
        </w:trPr>
        <w:tc>
          <w:tcPr>
            <w:tcW w:w="1052" w:type="pct"/>
            <w:noWrap/>
            <w:hideMark/>
          </w:tcPr>
          <w:p w14:paraId="5369BB88" w14:textId="77777777" w:rsidR="006D0C4F" w:rsidRPr="00F23E6D" w:rsidRDefault="006D0C4F"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 xml:space="preserve">Reference Case </w:t>
            </w:r>
          </w:p>
          <w:p w14:paraId="1A4C309E" w14:textId="77777777" w:rsidR="006D0C4F" w:rsidRPr="00F23E6D" w:rsidRDefault="006D0C4F"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 xml:space="preserve">Projected Energy </w:t>
            </w:r>
          </w:p>
          <w:p w14:paraId="77F1D990" w14:textId="77777777" w:rsidR="006D0C4F" w:rsidRPr="00F23E6D" w:rsidRDefault="006D0C4F"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Consumption in 2030</w:t>
            </w:r>
          </w:p>
          <w:p w14:paraId="27CB2D61" w14:textId="1434640C" w:rsidR="00C278E1" w:rsidRPr="00F23E6D" w:rsidRDefault="006D0C4F"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(in quads)</w:t>
            </w:r>
          </w:p>
        </w:tc>
        <w:tc>
          <w:tcPr>
            <w:tcW w:w="891" w:type="pct"/>
            <w:noWrap/>
            <w:hideMark/>
          </w:tcPr>
          <w:p w14:paraId="3898B256"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6.08</w:t>
            </w:r>
          </w:p>
        </w:tc>
        <w:tc>
          <w:tcPr>
            <w:tcW w:w="764" w:type="pct"/>
            <w:noWrap/>
            <w:hideMark/>
          </w:tcPr>
          <w:p w14:paraId="54FE6DC0"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6.07</w:t>
            </w:r>
          </w:p>
        </w:tc>
        <w:tc>
          <w:tcPr>
            <w:tcW w:w="764" w:type="pct"/>
            <w:noWrap/>
            <w:hideMark/>
          </w:tcPr>
          <w:p w14:paraId="3FC536CB"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2.15</w:t>
            </w:r>
          </w:p>
        </w:tc>
        <w:tc>
          <w:tcPr>
            <w:tcW w:w="764" w:type="pct"/>
            <w:noWrap/>
            <w:hideMark/>
          </w:tcPr>
          <w:p w14:paraId="0BD3CDA2"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1.38</w:t>
            </w:r>
          </w:p>
        </w:tc>
        <w:tc>
          <w:tcPr>
            <w:tcW w:w="764" w:type="pct"/>
            <w:noWrap/>
            <w:hideMark/>
          </w:tcPr>
          <w:p w14:paraId="5784890E"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0.44</w:t>
            </w:r>
          </w:p>
        </w:tc>
      </w:tr>
      <w:tr w:rsidR="00C278E1" w:rsidRPr="00F23E6D" w14:paraId="24582C5D" w14:textId="77777777" w:rsidTr="00C278E1">
        <w:trPr>
          <w:trHeight w:val="300"/>
        </w:trPr>
        <w:tc>
          <w:tcPr>
            <w:tcW w:w="1052" w:type="pct"/>
            <w:noWrap/>
            <w:hideMark/>
          </w:tcPr>
          <w:p w14:paraId="7168121E" w14:textId="1208D147" w:rsidR="00C278E1" w:rsidRPr="00F23E6D" w:rsidRDefault="00CF7BAC"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Integrated</w:t>
            </w:r>
            <w:r w:rsidR="00C278E1" w:rsidRPr="00F23E6D">
              <w:rPr>
                <w:rFonts w:ascii="Times New Roman" w:eastAsia="Times New Roman" w:hAnsi="Times New Roman" w:cs="Times New Roman"/>
              </w:rPr>
              <w:t xml:space="preserve"> Efficiency</w:t>
            </w:r>
          </w:p>
        </w:tc>
        <w:tc>
          <w:tcPr>
            <w:tcW w:w="891" w:type="pct"/>
            <w:noWrap/>
            <w:hideMark/>
          </w:tcPr>
          <w:p w14:paraId="408BF70B"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4.98</w:t>
            </w:r>
          </w:p>
        </w:tc>
        <w:tc>
          <w:tcPr>
            <w:tcW w:w="764" w:type="pct"/>
            <w:noWrap/>
            <w:hideMark/>
          </w:tcPr>
          <w:p w14:paraId="54913B6F"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4.67</w:t>
            </w:r>
          </w:p>
        </w:tc>
        <w:tc>
          <w:tcPr>
            <w:tcW w:w="764" w:type="pct"/>
            <w:noWrap/>
            <w:hideMark/>
          </w:tcPr>
          <w:p w14:paraId="62A1F461"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1.3</w:t>
            </w:r>
          </w:p>
        </w:tc>
        <w:tc>
          <w:tcPr>
            <w:tcW w:w="764" w:type="pct"/>
            <w:noWrap/>
            <w:hideMark/>
          </w:tcPr>
          <w:p w14:paraId="7A290C05"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0.59</w:t>
            </w:r>
          </w:p>
        </w:tc>
        <w:tc>
          <w:tcPr>
            <w:tcW w:w="764" w:type="pct"/>
            <w:noWrap/>
            <w:hideMark/>
          </w:tcPr>
          <w:p w14:paraId="13BF1368"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0.34</w:t>
            </w:r>
          </w:p>
        </w:tc>
      </w:tr>
      <w:tr w:rsidR="00C278E1" w:rsidRPr="00F23E6D" w14:paraId="7FE160D1" w14:textId="77777777" w:rsidTr="00C278E1">
        <w:trPr>
          <w:trHeight w:val="300"/>
        </w:trPr>
        <w:tc>
          <w:tcPr>
            <w:tcW w:w="1052" w:type="pct"/>
            <w:noWrap/>
            <w:hideMark/>
          </w:tcPr>
          <w:p w14:paraId="65AAAC5F" w14:textId="440FEC2B" w:rsidR="00C278E1" w:rsidRPr="00F23E6D" w:rsidRDefault="000538DD"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kern w:val="24"/>
              </w:rPr>
              <w:t>% Change (2017-2030)</w:t>
            </w:r>
          </w:p>
        </w:tc>
        <w:tc>
          <w:tcPr>
            <w:tcW w:w="891" w:type="pct"/>
            <w:noWrap/>
            <w:hideMark/>
          </w:tcPr>
          <w:p w14:paraId="5FA3A861" w14:textId="2ACDC5EF" w:rsidR="00C278E1" w:rsidRPr="00F23E6D" w:rsidRDefault="006D0C4F"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C278E1" w:rsidRPr="00F23E6D">
              <w:rPr>
                <w:rFonts w:ascii="Times New Roman" w:eastAsia="Times New Roman" w:hAnsi="Times New Roman" w:cs="Times New Roman"/>
              </w:rPr>
              <w:t>18</w:t>
            </w:r>
            <w:r w:rsidRPr="00F23E6D">
              <w:rPr>
                <w:rFonts w:ascii="Times New Roman" w:eastAsia="Times New Roman" w:hAnsi="Times New Roman" w:cs="Times New Roman"/>
              </w:rPr>
              <w:t>.1</w:t>
            </w:r>
          </w:p>
        </w:tc>
        <w:tc>
          <w:tcPr>
            <w:tcW w:w="764" w:type="pct"/>
            <w:noWrap/>
            <w:hideMark/>
          </w:tcPr>
          <w:p w14:paraId="247F7259" w14:textId="02BE157C"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23.1</w:t>
            </w:r>
          </w:p>
        </w:tc>
        <w:tc>
          <w:tcPr>
            <w:tcW w:w="764" w:type="pct"/>
            <w:noWrap/>
            <w:hideMark/>
          </w:tcPr>
          <w:p w14:paraId="48528365" w14:textId="3ADEDC79"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39.5</w:t>
            </w:r>
          </w:p>
        </w:tc>
        <w:tc>
          <w:tcPr>
            <w:tcW w:w="764" w:type="pct"/>
            <w:noWrap/>
            <w:hideMark/>
          </w:tcPr>
          <w:p w14:paraId="208782F9" w14:textId="35EF0196"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57.2</w:t>
            </w:r>
          </w:p>
        </w:tc>
        <w:tc>
          <w:tcPr>
            <w:tcW w:w="764" w:type="pct"/>
            <w:noWrap/>
            <w:hideMark/>
          </w:tcPr>
          <w:p w14:paraId="09B856AA" w14:textId="588A020B" w:rsidR="00C278E1" w:rsidRPr="00F23E6D" w:rsidRDefault="00CF7BAC"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-22.7</w:t>
            </w:r>
          </w:p>
        </w:tc>
      </w:tr>
      <w:tr w:rsidR="00C278E1" w:rsidRPr="00F23E6D" w14:paraId="2F017C54" w14:textId="77777777" w:rsidTr="00C278E1">
        <w:trPr>
          <w:trHeight w:val="300"/>
        </w:trPr>
        <w:tc>
          <w:tcPr>
            <w:tcW w:w="1052" w:type="pct"/>
            <w:noWrap/>
            <w:hideMark/>
          </w:tcPr>
          <w:p w14:paraId="044C2073" w14:textId="1ADD5E43" w:rsidR="00C278E1" w:rsidRPr="00F23E6D" w:rsidRDefault="00241E98" w:rsidP="00A72615">
            <w:pPr>
              <w:spacing w:line="276" w:lineRule="auto"/>
              <w:rPr>
                <w:rFonts w:ascii="Times New Roman" w:eastAsia="Times New Roman" w:hAnsi="Times New Roman" w:cs="Times New Roman"/>
              </w:rPr>
            </w:pPr>
            <w:r>
              <w:rPr>
                <w:rFonts w:ascii="Times New Roman" w:eastAsia="Times New Roman" w:hAnsi="Times New Roman" w:cs="Times New Roman"/>
              </w:rPr>
              <w:t>Existing</w:t>
            </w:r>
          </w:p>
        </w:tc>
        <w:tc>
          <w:tcPr>
            <w:tcW w:w="891" w:type="pct"/>
            <w:noWrap/>
            <w:hideMark/>
          </w:tcPr>
          <w:p w14:paraId="77858C41" w14:textId="342250AD"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14.5</w:t>
            </w:r>
          </w:p>
        </w:tc>
        <w:tc>
          <w:tcPr>
            <w:tcW w:w="764" w:type="pct"/>
            <w:noWrap/>
            <w:hideMark/>
          </w:tcPr>
          <w:p w14:paraId="59628775" w14:textId="40B15994"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18.4</w:t>
            </w:r>
          </w:p>
        </w:tc>
        <w:tc>
          <w:tcPr>
            <w:tcW w:w="764" w:type="pct"/>
            <w:noWrap/>
            <w:hideMark/>
          </w:tcPr>
          <w:p w14:paraId="33F3786F" w14:textId="7157EE56"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31.6</w:t>
            </w:r>
          </w:p>
        </w:tc>
        <w:tc>
          <w:tcPr>
            <w:tcW w:w="764" w:type="pct"/>
            <w:noWrap/>
            <w:hideMark/>
          </w:tcPr>
          <w:p w14:paraId="1E600781" w14:textId="3CA72B46"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45.8</w:t>
            </w:r>
          </w:p>
        </w:tc>
        <w:tc>
          <w:tcPr>
            <w:tcW w:w="764" w:type="pct"/>
            <w:noWrap/>
            <w:hideMark/>
          </w:tcPr>
          <w:p w14:paraId="650C96C9" w14:textId="7B0F9BB3"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CF7BAC" w:rsidRPr="00F23E6D">
              <w:rPr>
                <w:rFonts w:ascii="Times New Roman" w:eastAsia="Times New Roman" w:hAnsi="Times New Roman" w:cs="Times New Roman"/>
              </w:rPr>
              <w:t>18.2</w:t>
            </w:r>
          </w:p>
        </w:tc>
      </w:tr>
      <w:tr w:rsidR="00C278E1" w:rsidRPr="00F23E6D" w14:paraId="3A3520D7" w14:textId="77777777" w:rsidTr="00C278E1">
        <w:trPr>
          <w:trHeight w:val="300"/>
        </w:trPr>
        <w:tc>
          <w:tcPr>
            <w:tcW w:w="1052" w:type="pct"/>
            <w:noWrap/>
            <w:hideMark/>
          </w:tcPr>
          <w:p w14:paraId="670B7E27"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New</w:t>
            </w:r>
          </w:p>
        </w:tc>
        <w:tc>
          <w:tcPr>
            <w:tcW w:w="891" w:type="pct"/>
            <w:noWrap/>
            <w:hideMark/>
          </w:tcPr>
          <w:p w14:paraId="3EF37DA1" w14:textId="2A8E530C"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21.7</w:t>
            </w:r>
          </w:p>
        </w:tc>
        <w:tc>
          <w:tcPr>
            <w:tcW w:w="764" w:type="pct"/>
            <w:noWrap/>
            <w:hideMark/>
          </w:tcPr>
          <w:p w14:paraId="1E274CB4" w14:textId="4D2E7D36"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27.7</w:t>
            </w:r>
          </w:p>
        </w:tc>
        <w:tc>
          <w:tcPr>
            <w:tcW w:w="764" w:type="pct"/>
            <w:noWrap/>
            <w:hideMark/>
          </w:tcPr>
          <w:p w14:paraId="64B6463E" w14:textId="415CB12F"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47.4</w:t>
            </w:r>
          </w:p>
        </w:tc>
        <w:tc>
          <w:tcPr>
            <w:tcW w:w="764" w:type="pct"/>
            <w:noWrap/>
            <w:hideMark/>
          </w:tcPr>
          <w:p w14:paraId="3FB1A2D9" w14:textId="06567F71"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D0C4F" w:rsidRPr="00F23E6D">
              <w:rPr>
                <w:rFonts w:ascii="Times New Roman" w:eastAsia="Times New Roman" w:hAnsi="Times New Roman" w:cs="Times New Roman"/>
              </w:rPr>
              <w:t>68.7</w:t>
            </w:r>
          </w:p>
        </w:tc>
        <w:tc>
          <w:tcPr>
            <w:tcW w:w="764" w:type="pct"/>
            <w:noWrap/>
            <w:hideMark/>
          </w:tcPr>
          <w:p w14:paraId="1CC12F02" w14:textId="2B4FC60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CF7BAC" w:rsidRPr="00F23E6D">
              <w:rPr>
                <w:rFonts w:ascii="Times New Roman" w:eastAsia="Times New Roman" w:hAnsi="Times New Roman" w:cs="Times New Roman"/>
              </w:rPr>
              <w:t>27.2</w:t>
            </w:r>
          </w:p>
        </w:tc>
      </w:tr>
      <w:tr w:rsidR="00C278E1" w:rsidRPr="00F23E6D" w14:paraId="52F55D28" w14:textId="77777777" w:rsidTr="00C278E1">
        <w:trPr>
          <w:trHeight w:val="300"/>
        </w:trPr>
        <w:tc>
          <w:tcPr>
            <w:tcW w:w="1052" w:type="pct"/>
            <w:noWrap/>
            <w:hideMark/>
          </w:tcPr>
          <w:p w14:paraId="2339AC07" w14:textId="77777777" w:rsidR="00C278E1" w:rsidRPr="00F23E6D" w:rsidRDefault="00C278E1" w:rsidP="00A72615">
            <w:pPr>
              <w:spacing w:line="276" w:lineRule="auto"/>
              <w:rPr>
                <w:rFonts w:ascii="Times New Roman" w:eastAsia="Times New Roman" w:hAnsi="Times New Roman" w:cs="Times New Roman"/>
              </w:rPr>
            </w:pPr>
          </w:p>
        </w:tc>
        <w:tc>
          <w:tcPr>
            <w:tcW w:w="891" w:type="pct"/>
            <w:noWrap/>
            <w:hideMark/>
          </w:tcPr>
          <w:p w14:paraId="76894CCD"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0C544086"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173C0576"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74AA3CDB"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41ED9837" w14:textId="77777777" w:rsidR="00C278E1" w:rsidRPr="00F23E6D" w:rsidRDefault="00C278E1" w:rsidP="00A72615">
            <w:pPr>
              <w:spacing w:line="276" w:lineRule="auto"/>
              <w:rPr>
                <w:rFonts w:ascii="Times New Roman" w:eastAsia="Times New Roman" w:hAnsi="Times New Roman" w:cs="Times New Roman"/>
              </w:rPr>
            </w:pPr>
          </w:p>
        </w:tc>
      </w:tr>
      <w:tr w:rsidR="00C278E1" w:rsidRPr="00F23E6D" w14:paraId="3AEB97C4" w14:textId="77777777" w:rsidTr="00C278E1">
        <w:trPr>
          <w:trHeight w:val="300"/>
        </w:trPr>
        <w:tc>
          <w:tcPr>
            <w:tcW w:w="2708" w:type="pct"/>
            <w:gridSpan w:val="3"/>
            <w:noWrap/>
            <w:hideMark/>
          </w:tcPr>
          <w:p w14:paraId="2A03A5F1" w14:textId="32AC35AB"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 xml:space="preserve">Annual </w:t>
            </w:r>
            <w:r w:rsidR="00241E98">
              <w:rPr>
                <w:rFonts w:ascii="Times New Roman" w:eastAsia="Times New Roman" w:hAnsi="Times New Roman" w:cs="Times New Roman"/>
              </w:rPr>
              <w:t>%</w:t>
            </w:r>
            <w:r w:rsidRPr="00F23E6D">
              <w:rPr>
                <w:rFonts w:ascii="Times New Roman" w:eastAsia="Times New Roman" w:hAnsi="Times New Roman" w:cs="Times New Roman"/>
              </w:rPr>
              <w:t xml:space="preserve"> Improvement</w:t>
            </w:r>
          </w:p>
        </w:tc>
        <w:tc>
          <w:tcPr>
            <w:tcW w:w="764" w:type="pct"/>
            <w:noWrap/>
            <w:hideMark/>
          </w:tcPr>
          <w:p w14:paraId="6901E34B"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08799ECC"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3CCDB6D3" w14:textId="77777777" w:rsidR="00C278E1" w:rsidRPr="00F23E6D" w:rsidRDefault="00C278E1" w:rsidP="00A72615">
            <w:pPr>
              <w:spacing w:line="276" w:lineRule="auto"/>
              <w:rPr>
                <w:rFonts w:ascii="Times New Roman" w:eastAsia="Times New Roman" w:hAnsi="Times New Roman" w:cs="Times New Roman"/>
              </w:rPr>
            </w:pPr>
          </w:p>
        </w:tc>
      </w:tr>
      <w:tr w:rsidR="00C278E1" w:rsidRPr="00F23E6D" w14:paraId="5900922C" w14:textId="77777777" w:rsidTr="00C278E1">
        <w:trPr>
          <w:trHeight w:val="300"/>
        </w:trPr>
        <w:tc>
          <w:tcPr>
            <w:tcW w:w="1052" w:type="pct"/>
            <w:noWrap/>
            <w:hideMark/>
          </w:tcPr>
          <w:p w14:paraId="7B2A0F3E" w14:textId="3463487F" w:rsidR="00C278E1" w:rsidRPr="00F23E6D" w:rsidRDefault="00241E98" w:rsidP="00A72615">
            <w:pPr>
              <w:spacing w:line="276" w:lineRule="auto"/>
              <w:rPr>
                <w:rFonts w:ascii="Times New Roman" w:eastAsia="Times New Roman" w:hAnsi="Times New Roman" w:cs="Times New Roman"/>
              </w:rPr>
            </w:pPr>
            <w:r>
              <w:rPr>
                <w:rFonts w:ascii="Times New Roman" w:eastAsia="Times New Roman" w:hAnsi="Times New Roman" w:cs="Times New Roman"/>
              </w:rPr>
              <w:t>Existing</w:t>
            </w:r>
          </w:p>
        </w:tc>
        <w:tc>
          <w:tcPr>
            <w:tcW w:w="891" w:type="pct"/>
            <w:noWrap/>
            <w:hideMark/>
          </w:tcPr>
          <w:p w14:paraId="1797C3F3"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-0.01316</w:t>
            </w:r>
          </w:p>
        </w:tc>
        <w:tc>
          <w:tcPr>
            <w:tcW w:w="764" w:type="pct"/>
            <w:noWrap/>
            <w:hideMark/>
          </w:tcPr>
          <w:p w14:paraId="3444EFA9"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-0.01677</w:t>
            </w:r>
          </w:p>
        </w:tc>
        <w:tc>
          <w:tcPr>
            <w:tcW w:w="764" w:type="pct"/>
            <w:noWrap/>
            <w:hideMark/>
          </w:tcPr>
          <w:p w14:paraId="53AAEA94"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-0.02875</w:t>
            </w:r>
          </w:p>
        </w:tc>
        <w:tc>
          <w:tcPr>
            <w:tcW w:w="764" w:type="pct"/>
            <w:noWrap/>
            <w:hideMark/>
          </w:tcPr>
          <w:p w14:paraId="5EF614D8"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-0.04163</w:t>
            </w:r>
          </w:p>
        </w:tc>
        <w:tc>
          <w:tcPr>
            <w:tcW w:w="764" w:type="pct"/>
            <w:noWrap/>
            <w:hideMark/>
          </w:tcPr>
          <w:p w14:paraId="218A7D95" w14:textId="2E6CC27A"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w:t>
            </w:r>
            <w:r w:rsidR="00CF7BAC" w:rsidRPr="00F23E6D">
              <w:rPr>
                <w:rFonts w:ascii="Times New Roman" w:eastAsia="Times New Roman" w:hAnsi="Times New Roman" w:cs="Times New Roman"/>
              </w:rPr>
              <w:t>65</w:t>
            </w:r>
          </w:p>
        </w:tc>
      </w:tr>
      <w:tr w:rsidR="00C278E1" w:rsidRPr="00F23E6D" w14:paraId="45AD9C6A" w14:textId="77777777" w:rsidTr="00C278E1">
        <w:trPr>
          <w:trHeight w:val="300"/>
        </w:trPr>
        <w:tc>
          <w:tcPr>
            <w:tcW w:w="1052" w:type="pct"/>
            <w:noWrap/>
            <w:hideMark/>
          </w:tcPr>
          <w:p w14:paraId="05F4820C"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New</w:t>
            </w:r>
          </w:p>
        </w:tc>
        <w:tc>
          <w:tcPr>
            <w:tcW w:w="891" w:type="pct"/>
            <w:noWrap/>
            <w:hideMark/>
          </w:tcPr>
          <w:p w14:paraId="102DB498"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-0.01974</w:t>
            </w:r>
          </w:p>
        </w:tc>
        <w:tc>
          <w:tcPr>
            <w:tcW w:w="764" w:type="pct"/>
            <w:noWrap/>
            <w:hideMark/>
          </w:tcPr>
          <w:p w14:paraId="4475E178"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-0.02516</w:t>
            </w:r>
          </w:p>
        </w:tc>
        <w:tc>
          <w:tcPr>
            <w:tcW w:w="764" w:type="pct"/>
            <w:noWrap/>
            <w:hideMark/>
          </w:tcPr>
          <w:p w14:paraId="79577F8C"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-0.04313</w:t>
            </w:r>
          </w:p>
        </w:tc>
        <w:tc>
          <w:tcPr>
            <w:tcW w:w="764" w:type="pct"/>
            <w:noWrap/>
            <w:hideMark/>
          </w:tcPr>
          <w:p w14:paraId="2CC51E96"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-0.06245</w:t>
            </w:r>
          </w:p>
        </w:tc>
        <w:tc>
          <w:tcPr>
            <w:tcW w:w="764" w:type="pct"/>
            <w:noWrap/>
            <w:hideMark/>
          </w:tcPr>
          <w:p w14:paraId="21333CBB" w14:textId="1D6D842F"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-0.02</w:t>
            </w:r>
            <w:r w:rsidR="00CF7BAC" w:rsidRPr="00F23E6D">
              <w:rPr>
                <w:rFonts w:ascii="Times New Roman" w:eastAsia="Times New Roman" w:hAnsi="Times New Roman" w:cs="Times New Roman"/>
              </w:rPr>
              <w:t>72</w:t>
            </w:r>
          </w:p>
        </w:tc>
      </w:tr>
    </w:tbl>
    <w:p w14:paraId="7B58CDBF" w14:textId="77777777" w:rsidR="00C278E1" w:rsidRPr="00F23E6D" w:rsidRDefault="00C278E1" w:rsidP="00A72615">
      <w:pPr>
        <w:spacing w:line="276" w:lineRule="auto"/>
        <w:rPr>
          <w:rFonts w:ascii="Times New Roman" w:hAnsi="Times New Roman" w:cs="Times New Roman"/>
        </w:rPr>
      </w:pPr>
    </w:p>
    <w:tbl>
      <w:tblPr>
        <w:tblStyle w:val="TableGrid"/>
        <w:tblW w:w="5000" w:type="pct"/>
        <w:tblLook w:val="04A0" w:firstRow="1" w:lastRow="0" w:firstColumn="1" w:lastColumn="0" w:noHBand="0" w:noVBand="1"/>
      </w:tblPr>
      <w:tblGrid>
        <w:gridCol w:w="2469"/>
        <w:gridCol w:w="1756"/>
        <w:gridCol w:w="1169"/>
        <w:gridCol w:w="1670"/>
        <w:gridCol w:w="1563"/>
        <w:gridCol w:w="1335"/>
      </w:tblGrid>
      <w:tr w:rsidR="00C278E1" w:rsidRPr="00F23E6D" w14:paraId="5266FE92" w14:textId="77777777" w:rsidTr="00C278E1">
        <w:trPr>
          <w:trHeight w:val="300"/>
        </w:trPr>
        <w:tc>
          <w:tcPr>
            <w:tcW w:w="1052" w:type="pct"/>
            <w:noWrap/>
            <w:hideMark/>
          </w:tcPr>
          <w:p w14:paraId="18DA0CE7" w14:textId="77777777" w:rsidR="00C278E1" w:rsidRPr="00F23E6D" w:rsidRDefault="00C278E1" w:rsidP="00A72615">
            <w:pPr>
              <w:spacing w:line="276" w:lineRule="auto"/>
              <w:rPr>
                <w:rFonts w:ascii="Times New Roman" w:eastAsia="Times New Roman" w:hAnsi="Times New Roman" w:cs="Times New Roman"/>
                <w:b/>
                <w:bCs/>
              </w:rPr>
            </w:pPr>
            <w:r w:rsidRPr="00F23E6D">
              <w:rPr>
                <w:rFonts w:ascii="Times New Roman" w:eastAsia="Times New Roman" w:hAnsi="Times New Roman" w:cs="Times New Roman"/>
                <w:b/>
                <w:bCs/>
              </w:rPr>
              <w:t>LOW</w:t>
            </w:r>
          </w:p>
        </w:tc>
        <w:tc>
          <w:tcPr>
            <w:tcW w:w="891" w:type="pct"/>
            <w:noWrap/>
            <w:hideMark/>
          </w:tcPr>
          <w:p w14:paraId="002DBEC8"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Bulk Chemicals</w:t>
            </w:r>
          </w:p>
        </w:tc>
        <w:tc>
          <w:tcPr>
            <w:tcW w:w="764" w:type="pct"/>
            <w:noWrap/>
            <w:hideMark/>
          </w:tcPr>
          <w:p w14:paraId="75FCAF5B"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Refining</w:t>
            </w:r>
          </w:p>
        </w:tc>
        <w:tc>
          <w:tcPr>
            <w:tcW w:w="764" w:type="pct"/>
            <w:noWrap/>
            <w:hideMark/>
          </w:tcPr>
          <w:p w14:paraId="79E038CF"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Pulp and Paper</w:t>
            </w:r>
          </w:p>
        </w:tc>
        <w:tc>
          <w:tcPr>
            <w:tcW w:w="764" w:type="pct"/>
            <w:noWrap/>
            <w:hideMark/>
          </w:tcPr>
          <w:p w14:paraId="29F04414"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Iron and Steel</w:t>
            </w:r>
          </w:p>
        </w:tc>
        <w:tc>
          <w:tcPr>
            <w:tcW w:w="764" w:type="pct"/>
            <w:noWrap/>
            <w:hideMark/>
          </w:tcPr>
          <w:p w14:paraId="017075E2"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Cement</w:t>
            </w:r>
          </w:p>
        </w:tc>
      </w:tr>
      <w:tr w:rsidR="00C278E1" w:rsidRPr="00F23E6D" w14:paraId="64E501C4" w14:textId="77777777" w:rsidTr="00C278E1">
        <w:trPr>
          <w:trHeight w:val="300"/>
        </w:trPr>
        <w:tc>
          <w:tcPr>
            <w:tcW w:w="1052" w:type="pct"/>
            <w:noWrap/>
            <w:hideMark/>
          </w:tcPr>
          <w:p w14:paraId="113B2E6F" w14:textId="2E153EAA" w:rsidR="00057733" w:rsidRPr="00F23E6D" w:rsidRDefault="00057733"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 xml:space="preserve">Reference Case </w:t>
            </w:r>
          </w:p>
          <w:p w14:paraId="1D76BEB8" w14:textId="77777777" w:rsidR="00057733"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Projected</w:t>
            </w:r>
            <w:r w:rsidR="00057733" w:rsidRPr="00F23E6D">
              <w:rPr>
                <w:rFonts w:ascii="Times New Roman" w:eastAsia="Times New Roman" w:hAnsi="Times New Roman" w:cs="Times New Roman"/>
              </w:rPr>
              <w:t xml:space="preserve"> Energy </w:t>
            </w:r>
          </w:p>
          <w:p w14:paraId="024F0F93" w14:textId="77777777" w:rsidR="00C278E1" w:rsidRPr="00F23E6D" w:rsidRDefault="00057733"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Consumption in 2030</w:t>
            </w:r>
          </w:p>
          <w:p w14:paraId="54410BF8" w14:textId="0011C573" w:rsidR="00057733" w:rsidRPr="00F23E6D" w:rsidRDefault="00057733"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(in quads)</w:t>
            </w:r>
          </w:p>
        </w:tc>
        <w:tc>
          <w:tcPr>
            <w:tcW w:w="891" w:type="pct"/>
            <w:noWrap/>
            <w:hideMark/>
          </w:tcPr>
          <w:p w14:paraId="5E7501BB"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6.08</w:t>
            </w:r>
          </w:p>
        </w:tc>
        <w:tc>
          <w:tcPr>
            <w:tcW w:w="764" w:type="pct"/>
            <w:noWrap/>
            <w:hideMark/>
          </w:tcPr>
          <w:p w14:paraId="49D05E91"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6.07</w:t>
            </w:r>
          </w:p>
        </w:tc>
        <w:tc>
          <w:tcPr>
            <w:tcW w:w="764" w:type="pct"/>
            <w:noWrap/>
            <w:hideMark/>
          </w:tcPr>
          <w:p w14:paraId="59C8AF46"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2.15</w:t>
            </w:r>
          </w:p>
        </w:tc>
        <w:tc>
          <w:tcPr>
            <w:tcW w:w="764" w:type="pct"/>
            <w:noWrap/>
            <w:hideMark/>
          </w:tcPr>
          <w:p w14:paraId="02F8FF07"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1.38</w:t>
            </w:r>
          </w:p>
        </w:tc>
        <w:tc>
          <w:tcPr>
            <w:tcW w:w="764" w:type="pct"/>
            <w:noWrap/>
            <w:hideMark/>
          </w:tcPr>
          <w:p w14:paraId="255C66EB"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0.44</w:t>
            </w:r>
          </w:p>
        </w:tc>
      </w:tr>
      <w:tr w:rsidR="00C278E1" w:rsidRPr="00F23E6D" w14:paraId="752F5F79" w14:textId="77777777" w:rsidTr="00C278E1">
        <w:trPr>
          <w:trHeight w:val="300"/>
        </w:trPr>
        <w:tc>
          <w:tcPr>
            <w:tcW w:w="1052" w:type="pct"/>
            <w:noWrap/>
            <w:hideMark/>
          </w:tcPr>
          <w:p w14:paraId="4081961E" w14:textId="1CE1B74A" w:rsidR="00C278E1" w:rsidRPr="00F23E6D" w:rsidRDefault="000538DD"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Integrated</w:t>
            </w:r>
            <w:r w:rsidR="00C278E1" w:rsidRPr="00F23E6D">
              <w:rPr>
                <w:rFonts w:ascii="Times New Roman" w:eastAsia="Times New Roman" w:hAnsi="Times New Roman" w:cs="Times New Roman"/>
              </w:rPr>
              <w:t xml:space="preserve"> Efficiency</w:t>
            </w:r>
          </w:p>
        </w:tc>
        <w:tc>
          <w:tcPr>
            <w:tcW w:w="891" w:type="pct"/>
            <w:noWrap/>
            <w:hideMark/>
          </w:tcPr>
          <w:p w14:paraId="4668D58A"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5.89</w:t>
            </w:r>
          </w:p>
        </w:tc>
        <w:tc>
          <w:tcPr>
            <w:tcW w:w="764" w:type="pct"/>
            <w:noWrap/>
            <w:hideMark/>
          </w:tcPr>
          <w:p w14:paraId="3ED4E467"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5.77</w:t>
            </w:r>
          </w:p>
        </w:tc>
        <w:tc>
          <w:tcPr>
            <w:tcW w:w="764" w:type="pct"/>
            <w:noWrap/>
            <w:hideMark/>
          </w:tcPr>
          <w:p w14:paraId="084B1205"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2.01</w:t>
            </w:r>
          </w:p>
        </w:tc>
        <w:tc>
          <w:tcPr>
            <w:tcW w:w="764" w:type="pct"/>
            <w:noWrap/>
            <w:hideMark/>
          </w:tcPr>
          <w:p w14:paraId="42FF120C"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1.17</w:t>
            </w:r>
          </w:p>
        </w:tc>
        <w:tc>
          <w:tcPr>
            <w:tcW w:w="764" w:type="pct"/>
            <w:noWrap/>
            <w:hideMark/>
          </w:tcPr>
          <w:p w14:paraId="4E643418"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0.36</w:t>
            </w:r>
          </w:p>
        </w:tc>
      </w:tr>
      <w:tr w:rsidR="00C278E1" w:rsidRPr="00F23E6D" w14:paraId="6DB80CF7" w14:textId="77777777" w:rsidTr="00C278E1">
        <w:trPr>
          <w:trHeight w:val="300"/>
        </w:trPr>
        <w:tc>
          <w:tcPr>
            <w:tcW w:w="1052" w:type="pct"/>
            <w:noWrap/>
            <w:hideMark/>
          </w:tcPr>
          <w:p w14:paraId="356E8E3B" w14:textId="12F0D7B3" w:rsidR="00C278E1" w:rsidRPr="00F23E6D" w:rsidRDefault="000538DD"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kern w:val="24"/>
              </w:rPr>
              <w:t>% Change (2017-2030)</w:t>
            </w:r>
          </w:p>
        </w:tc>
        <w:tc>
          <w:tcPr>
            <w:tcW w:w="891" w:type="pct"/>
            <w:noWrap/>
            <w:hideMark/>
          </w:tcPr>
          <w:p w14:paraId="6D534F36" w14:textId="6E37D5F0"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37488" w:rsidRPr="00F23E6D">
              <w:rPr>
                <w:rFonts w:ascii="Times New Roman" w:eastAsia="Times New Roman" w:hAnsi="Times New Roman" w:cs="Times New Roman"/>
              </w:rPr>
              <w:t>3.1</w:t>
            </w:r>
          </w:p>
        </w:tc>
        <w:tc>
          <w:tcPr>
            <w:tcW w:w="764" w:type="pct"/>
            <w:noWrap/>
            <w:hideMark/>
          </w:tcPr>
          <w:p w14:paraId="3012CC65" w14:textId="786CAFE5"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-4.9</w:t>
            </w:r>
          </w:p>
        </w:tc>
        <w:tc>
          <w:tcPr>
            <w:tcW w:w="764" w:type="pct"/>
            <w:noWrap/>
            <w:hideMark/>
          </w:tcPr>
          <w:p w14:paraId="5C38093E" w14:textId="3091E4E4"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-6.5</w:t>
            </w:r>
          </w:p>
        </w:tc>
        <w:tc>
          <w:tcPr>
            <w:tcW w:w="764" w:type="pct"/>
            <w:noWrap/>
            <w:hideMark/>
          </w:tcPr>
          <w:p w14:paraId="6CC78575" w14:textId="54A81B06"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-15.2</w:t>
            </w:r>
          </w:p>
        </w:tc>
        <w:tc>
          <w:tcPr>
            <w:tcW w:w="764" w:type="pct"/>
            <w:noWrap/>
            <w:hideMark/>
          </w:tcPr>
          <w:p w14:paraId="3D57D5F6" w14:textId="0C15DD44"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-18.2</w:t>
            </w:r>
          </w:p>
        </w:tc>
      </w:tr>
      <w:tr w:rsidR="00C278E1" w:rsidRPr="00F23E6D" w14:paraId="45D3324A" w14:textId="77777777" w:rsidTr="00C278E1">
        <w:trPr>
          <w:trHeight w:val="300"/>
        </w:trPr>
        <w:tc>
          <w:tcPr>
            <w:tcW w:w="1052" w:type="pct"/>
            <w:noWrap/>
            <w:hideMark/>
          </w:tcPr>
          <w:p w14:paraId="48D64E53" w14:textId="7DAE3832" w:rsidR="00C278E1" w:rsidRPr="00F23E6D" w:rsidRDefault="00241E98" w:rsidP="00A72615">
            <w:pPr>
              <w:spacing w:line="276" w:lineRule="auto"/>
              <w:rPr>
                <w:rFonts w:ascii="Times New Roman" w:eastAsia="Times New Roman" w:hAnsi="Times New Roman" w:cs="Times New Roman"/>
              </w:rPr>
            </w:pPr>
            <w:r>
              <w:rPr>
                <w:rFonts w:ascii="Times New Roman" w:eastAsia="Times New Roman" w:hAnsi="Times New Roman" w:cs="Times New Roman"/>
              </w:rPr>
              <w:t>Existing</w:t>
            </w:r>
          </w:p>
        </w:tc>
        <w:tc>
          <w:tcPr>
            <w:tcW w:w="891" w:type="pct"/>
            <w:noWrap/>
            <w:hideMark/>
          </w:tcPr>
          <w:p w14:paraId="6087A3E3" w14:textId="762CD3AB"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37488" w:rsidRPr="00F23E6D">
              <w:rPr>
                <w:rFonts w:ascii="Times New Roman" w:eastAsia="Times New Roman" w:hAnsi="Times New Roman" w:cs="Times New Roman"/>
              </w:rPr>
              <w:t>2.5</w:t>
            </w:r>
          </w:p>
        </w:tc>
        <w:tc>
          <w:tcPr>
            <w:tcW w:w="764" w:type="pct"/>
            <w:noWrap/>
            <w:hideMark/>
          </w:tcPr>
          <w:p w14:paraId="4EA71E38" w14:textId="2352B096"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-3.9</w:t>
            </w:r>
          </w:p>
        </w:tc>
        <w:tc>
          <w:tcPr>
            <w:tcW w:w="764" w:type="pct"/>
            <w:noWrap/>
            <w:hideMark/>
          </w:tcPr>
          <w:p w14:paraId="7C3F339D" w14:textId="6E33A1FA"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-5.2</w:t>
            </w:r>
          </w:p>
        </w:tc>
        <w:tc>
          <w:tcPr>
            <w:tcW w:w="764" w:type="pct"/>
            <w:noWrap/>
            <w:hideMark/>
          </w:tcPr>
          <w:p w14:paraId="1FAC161B" w14:textId="44EB10F8"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-12.2</w:t>
            </w:r>
          </w:p>
        </w:tc>
        <w:tc>
          <w:tcPr>
            <w:tcW w:w="764" w:type="pct"/>
            <w:noWrap/>
            <w:hideMark/>
          </w:tcPr>
          <w:p w14:paraId="27D8DE41" w14:textId="74640679"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-14.5</w:t>
            </w:r>
          </w:p>
        </w:tc>
      </w:tr>
      <w:tr w:rsidR="00C278E1" w:rsidRPr="00F23E6D" w14:paraId="621B5E61" w14:textId="77777777" w:rsidTr="00C278E1">
        <w:trPr>
          <w:trHeight w:val="300"/>
        </w:trPr>
        <w:tc>
          <w:tcPr>
            <w:tcW w:w="1052" w:type="pct"/>
            <w:noWrap/>
            <w:hideMark/>
          </w:tcPr>
          <w:p w14:paraId="523D1015"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New</w:t>
            </w:r>
          </w:p>
        </w:tc>
        <w:tc>
          <w:tcPr>
            <w:tcW w:w="891" w:type="pct"/>
            <w:noWrap/>
            <w:hideMark/>
          </w:tcPr>
          <w:p w14:paraId="0B9ECF3F" w14:textId="7E1FB7D5"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37488" w:rsidRPr="00F23E6D">
              <w:rPr>
                <w:rFonts w:ascii="Times New Roman" w:eastAsia="Times New Roman" w:hAnsi="Times New Roman" w:cs="Times New Roman"/>
              </w:rPr>
              <w:t>3.8</w:t>
            </w:r>
          </w:p>
        </w:tc>
        <w:tc>
          <w:tcPr>
            <w:tcW w:w="764" w:type="pct"/>
            <w:noWrap/>
            <w:hideMark/>
          </w:tcPr>
          <w:p w14:paraId="668160A7" w14:textId="47B46291"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w:t>
            </w:r>
            <w:r w:rsidR="00637488" w:rsidRPr="00F23E6D">
              <w:rPr>
                <w:rFonts w:ascii="Times New Roman" w:eastAsia="Times New Roman" w:hAnsi="Times New Roman" w:cs="Times New Roman"/>
              </w:rPr>
              <w:t>5.9</w:t>
            </w:r>
          </w:p>
        </w:tc>
        <w:tc>
          <w:tcPr>
            <w:tcW w:w="764" w:type="pct"/>
            <w:noWrap/>
            <w:hideMark/>
          </w:tcPr>
          <w:p w14:paraId="0C65CC6D" w14:textId="213DCD80"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-7.8</w:t>
            </w:r>
          </w:p>
        </w:tc>
        <w:tc>
          <w:tcPr>
            <w:tcW w:w="764" w:type="pct"/>
            <w:noWrap/>
            <w:hideMark/>
          </w:tcPr>
          <w:p w14:paraId="38601856" w14:textId="5EB4BA55"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-18.3</w:t>
            </w:r>
          </w:p>
        </w:tc>
        <w:tc>
          <w:tcPr>
            <w:tcW w:w="764" w:type="pct"/>
            <w:noWrap/>
            <w:hideMark/>
          </w:tcPr>
          <w:p w14:paraId="5992718F" w14:textId="30B7B94C" w:rsidR="00C278E1" w:rsidRPr="00F23E6D" w:rsidRDefault="00637488"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-21.8</w:t>
            </w:r>
          </w:p>
        </w:tc>
      </w:tr>
      <w:tr w:rsidR="00C278E1" w:rsidRPr="00F23E6D" w14:paraId="1C34ADE1" w14:textId="77777777" w:rsidTr="00C278E1">
        <w:trPr>
          <w:trHeight w:val="300"/>
        </w:trPr>
        <w:tc>
          <w:tcPr>
            <w:tcW w:w="1052" w:type="pct"/>
            <w:noWrap/>
            <w:hideMark/>
          </w:tcPr>
          <w:p w14:paraId="4F008A80" w14:textId="77777777" w:rsidR="00C278E1" w:rsidRPr="00F23E6D" w:rsidRDefault="00C278E1" w:rsidP="00A72615">
            <w:pPr>
              <w:spacing w:line="276" w:lineRule="auto"/>
              <w:rPr>
                <w:rFonts w:ascii="Times New Roman" w:eastAsia="Times New Roman" w:hAnsi="Times New Roman" w:cs="Times New Roman"/>
              </w:rPr>
            </w:pPr>
          </w:p>
        </w:tc>
        <w:tc>
          <w:tcPr>
            <w:tcW w:w="891" w:type="pct"/>
            <w:noWrap/>
            <w:hideMark/>
          </w:tcPr>
          <w:p w14:paraId="62CE337A"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1B99CD81"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766D7CD7"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615B4009"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04B483E5" w14:textId="77777777" w:rsidR="00C278E1" w:rsidRPr="00F23E6D" w:rsidRDefault="00C278E1" w:rsidP="00A72615">
            <w:pPr>
              <w:spacing w:line="276" w:lineRule="auto"/>
              <w:rPr>
                <w:rFonts w:ascii="Times New Roman" w:eastAsia="Times New Roman" w:hAnsi="Times New Roman" w:cs="Times New Roman"/>
              </w:rPr>
            </w:pPr>
          </w:p>
        </w:tc>
      </w:tr>
      <w:tr w:rsidR="00C278E1" w:rsidRPr="00F23E6D" w14:paraId="0EB00887" w14:textId="77777777" w:rsidTr="00C278E1">
        <w:trPr>
          <w:trHeight w:val="300"/>
        </w:trPr>
        <w:tc>
          <w:tcPr>
            <w:tcW w:w="2708" w:type="pct"/>
            <w:gridSpan w:val="3"/>
            <w:noWrap/>
            <w:hideMark/>
          </w:tcPr>
          <w:p w14:paraId="2BFF415E" w14:textId="7E53F005"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 xml:space="preserve">Annual </w:t>
            </w:r>
            <w:r w:rsidR="00241E98">
              <w:rPr>
                <w:rFonts w:ascii="Times New Roman" w:eastAsia="Times New Roman" w:hAnsi="Times New Roman" w:cs="Times New Roman"/>
              </w:rPr>
              <w:t>%</w:t>
            </w:r>
            <w:r w:rsidRPr="00F23E6D">
              <w:rPr>
                <w:rFonts w:ascii="Times New Roman" w:eastAsia="Times New Roman" w:hAnsi="Times New Roman" w:cs="Times New Roman"/>
              </w:rPr>
              <w:t xml:space="preserve"> Improvement</w:t>
            </w:r>
          </w:p>
        </w:tc>
        <w:tc>
          <w:tcPr>
            <w:tcW w:w="764" w:type="pct"/>
            <w:noWrap/>
            <w:hideMark/>
          </w:tcPr>
          <w:p w14:paraId="7A7B8890"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7032FF36" w14:textId="77777777" w:rsidR="00C278E1" w:rsidRPr="00F23E6D" w:rsidRDefault="00C278E1" w:rsidP="00A72615">
            <w:pPr>
              <w:spacing w:line="276" w:lineRule="auto"/>
              <w:rPr>
                <w:rFonts w:ascii="Times New Roman" w:eastAsia="Times New Roman" w:hAnsi="Times New Roman" w:cs="Times New Roman"/>
              </w:rPr>
            </w:pPr>
          </w:p>
        </w:tc>
        <w:tc>
          <w:tcPr>
            <w:tcW w:w="764" w:type="pct"/>
            <w:noWrap/>
            <w:hideMark/>
          </w:tcPr>
          <w:p w14:paraId="6F75A10B" w14:textId="77777777" w:rsidR="00C278E1" w:rsidRPr="00F23E6D" w:rsidRDefault="00C278E1" w:rsidP="00A72615">
            <w:pPr>
              <w:spacing w:line="276" w:lineRule="auto"/>
              <w:rPr>
                <w:rFonts w:ascii="Times New Roman" w:eastAsia="Times New Roman" w:hAnsi="Times New Roman" w:cs="Times New Roman"/>
              </w:rPr>
            </w:pPr>
          </w:p>
        </w:tc>
      </w:tr>
      <w:tr w:rsidR="00C278E1" w:rsidRPr="00F23E6D" w14:paraId="4708151E" w14:textId="77777777" w:rsidTr="00C278E1">
        <w:trPr>
          <w:trHeight w:val="300"/>
        </w:trPr>
        <w:tc>
          <w:tcPr>
            <w:tcW w:w="1052" w:type="pct"/>
            <w:noWrap/>
            <w:hideMark/>
          </w:tcPr>
          <w:p w14:paraId="1243DB51" w14:textId="0E044CB2" w:rsidR="00C278E1" w:rsidRPr="00F23E6D" w:rsidRDefault="00241E98" w:rsidP="00A72615">
            <w:pPr>
              <w:spacing w:line="276" w:lineRule="auto"/>
              <w:rPr>
                <w:rFonts w:ascii="Times New Roman" w:eastAsia="Times New Roman" w:hAnsi="Times New Roman" w:cs="Times New Roman"/>
              </w:rPr>
            </w:pPr>
            <w:r>
              <w:rPr>
                <w:rFonts w:ascii="Times New Roman" w:eastAsia="Times New Roman" w:hAnsi="Times New Roman" w:cs="Times New Roman"/>
              </w:rPr>
              <w:t>Existing</w:t>
            </w:r>
          </w:p>
        </w:tc>
        <w:tc>
          <w:tcPr>
            <w:tcW w:w="891" w:type="pct"/>
            <w:noWrap/>
            <w:hideMark/>
          </w:tcPr>
          <w:p w14:paraId="504175B6" w14:textId="6E9A0802"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-0.0022</w:t>
            </w:r>
            <w:r w:rsidR="00637488" w:rsidRPr="00F23E6D">
              <w:rPr>
                <w:rFonts w:ascii="Times New Roman" w:eastAsia="Times New Roman" w:hAnsi="Times New Roman" w:cs="Times New Roman"/>
              </w:rPr>
              <w:t>7</w:t>
            </w:r>
          </w:p>
        </w:tc>
        <w:tc>
          <w:tcPr>
            <w:tcW w:w="764" w:type="pct"/>
            <w:noWrap/>
            <w:hideMark/>
          </w:tcPr>
          <w:p w14:paraId="7A4DA54C"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-0.00359</w:t>
            </w:r>
          </w:p>
        </w:tc>
        <w:tc>
          <w:tcPr>
            <w:tcW w:w="764" w:type="pct"/>
            <w:noWrap/>
            <w:hideMark/>
          </w:tcPr>
          <w:p w14:paraId="0FCB612E"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-0.00474</w:t>
            </w:r>
          </w:p>
        </w:tc>
        <w:tc>
          <w:tcPr>
            <w:tcW w:w="764" w:type="pct"/>
            <w:noWrap/>
            <w:hideMark/>
          </w:tcPr>
          <w:p w14:paraId="085BCBE6"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-0.01107</w:t>
            </w:r>
          </w:p>
        </w:tc>
        <w:tc>
          <w:tcPr>
            <w:tcW w:w="764" w:type="pct"/>
            <w:noWrap/>
            <w:hideMark/>
          </w:tcPr>
          <w:p w14:paraId="44A9F425" w14:textId="0DB80F85"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w:t>
            </w:r>
            <w:r w:rsidR="007454C0" w:rsidRPr="00F23E6D">
              <w:rPr>
                <w:rFonts w:ascii="Times New Roman" w:eastAsia="Times New Roman" w:hAnsi="Times New Roman" w:cs="Times New Roman"/>
              </w:rPr>
              <w:t>32</w:t>
            </w:r>
          </w:p>
        </w:tc>
      </w:tr>
      <w:tr w:rsidR="00C278E1" w:rsidRPr="00F23E6D" w14:paraId="2EC14250" w14:textId="77777777" w:rsidTr="00C278E1">
        <w:trPr>
          <w:trHeight w:val="300"/>
        </w:trPr>
        <w:tc>
          <w:tcPr>
            <w:tcW w:w="1052" w:type="pct"/>
            <w:noWrap/>
            <w:hideMark/>
          </w:tcPr>
          <w:p w14:paraId="1C1F0C66"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New</w:t>
            </w:r>
          </w:p>
        </w:tc>
        <w:tc>
          <w:tcPr>
            <w:tcW w:w="891" w:type="pct"/>
            <w:noWrap/>
            <w:hideMark/>
          </w:tcPr>
          <w:p w14:paraId="6E2B5921"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-0.00341</w:t>
            </w:r>
          </w:p>
        </w:tc>
        <w:tc>
          <w:tcPr>
            <w:tcW w:w="764" w:type="pct"/>
            <w:noWrap/>
            <w:hideMark/>
          </w:tcPr>
          <w:p w14:paraId="10072A0C"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-0.00539</w:t>
            </w:r>
          </w:p>
        </w:tc>
        <w:tc>
          <w:tcPr>
            <w:tcW w:w="764" w:type="pct"/>
            <w:noWrap/>
            <w:hideMark/>
          </w:tcPr>
          <w:p w14:paraId="7DE4C6ED"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-0.0071</w:t>
            </w:r>
          </w:p>
        </w:tc>
        <w:tc>
          <w:tcPr>
            <w:tcW w:w="764" w:type="pct"/>
            <w:noWrap/>
            <w:hideMark/>
          </w:tcPr>
          <w:p w14:paraId="4CB0779F" w14:textId="7777777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-0.0166</w:t>
            </w:r>
          </w:p>
        </w:tc>
        <w:tc>
          <w:tcPr>
            <w:tcW w:w="764" w:type="pct"/>
            <w:noWrap/>
            <w:hideMark/>
          </w:tcPr>
          <w:p w14:paraId="28E9DC9D" w14:textId="69381517" w:rsidR="00C278E1" w:rsidRPr="00F23E6D" w:rsidRDefault="00C278E1" w:rsidP="00A72615">
            <w:pPr>
              <w:spacing w:line="276" w:lineRule="auto"/>
              <w:rPr>
                <w:rFonts w:ascii="Times New Roman" w:eastAsia="Times New Roman" w:hAnsi="Times New Roman" w:cs="Times New Roman"/>
              </w:rPr>
            </w:pPr>
            <w:r w:rsidRPr="00F23E6D">
              <w:rPr>
                <w:rFonts w:ascii="Times New Roman" w:eastAsia="Times New Roman" w:hAnsi="Times New Roman" w:cs="Times New Roman"/>
              </w:rPr>
              <w:t>-0.01</w:t>
            </w:r>
            <w:r w:rsidR="007454C0" w:rsidRPr="00F23E6D">
              <w:rPr>
                <w:rFonts w:ascii="Times New Roman" w:eastAsia="Times New Roman" w:hAnsi="Times New Roman" w:cs="Times New Roman"/>
              </w:rPr>
              <w:t>98</w:t>
            </w:r>
          </w:p>
        </w:tc>
      </w:tr>
    </w:tbl>
    <w:p w14:paraId="3C8FA4CD" w14:textId="77777777" w:rsidR="000538DD" w:rsidRPr="00F23E6D" w:rsidRDefault="000538DD" w:rsidP="00A72615">
      <w:pPr>
        <w:pStyle w:val="TextBody"/>
        <w:spacing w:line="276" w:lineRule="auto"/>
        <w:rPr>
          <w:rFonts w:ascii="Times New Roman" w:hAnsi="Times New Roman" w:cs="Times New Roman"/>
        </w:rPr>
      </w:pPr>
    </w:p>
    <w:p w14:paraId="61C0A826" w14:textId="0A9E3B44" w:rsidR="004735FA" w:rsidRPr="00F23E6D" w:rsidRDefault="004735FA" w:rsidP="00A72615">
      <w:pPr>
        <w:pStyle w:val="Heading1"/>
        <w:spacing w:line="276" w:lineRule="auto"/>
        <w:rPr>
          <w:rFonts w:ascii="Times New Roman" w:hAnsi="Times New Roman" w:cs="Times New Roman"/>
          <w:sz w:val="24"/>
          <w:szCs w:val="24"/>
        </w:rPr>
      </w:pPr>
      <w:r w:rsidRPr="00F23E6D">
        <w:rPr>
          <w:rFonts w:ascii="Times New Roman" w:hAnsi="Times New Roman" w:cs="Times New Roman"/>
          <w:sz w:val="24"/>
          <w:szCs w:val="24"/>
        </w:rPr>
        <w:t>Results</w:t>
      </w:r>
    </w:p>
    <w:p w14:paraId="405BB75E" w14:textId="4CB63DF2" w:rsidR="00241E98" w:rsidRDefault="00205E6C" w:rsidP="00A72615">
      <w:pPr>
        <w:pStyle w:val="TextBody"/>
        <w:spacing w:line="276" w:lineRule="auto"/>
        <w:rPr>
          <w:rFonts w:ascii="Times New Roman" w:hAnsi="Times New Roman" w:cs="Times New Roman"/>
        </w:rPr>
      </w:pPr>
      <w:r>
        <w:rPr>
          <w:rFonts w:ascii="Times New Roman" w:hAnsi="Times New Roman" w:cs="Times New Roman"/>
        </w:rPr>
        <w:t>The Integrated High Efficiency Scenario results in overall reductions of electricity consumption and CO</w:t>
      </w:r>
      <w:r w:rsidRPr="00BD0D31">
        <w:rPr>
          <w:rFonts w:ascii="Times New Roman" w:hAnsi="Times New Roman" w:cs="Times New Roman"/>
          <w:vertAlign w:val="subscript"/>
        </w:rPr>
        <w:t>2</w:t>
      </w:r>
      <w:r>
        <w:rPr>
          <w:rFonts w:ascii="Times New Roman" w:hAnsi="Times New Roman" w:cs="Times New Roman"/>
        </w:rPr>
        <w:t xml:space="preserve"> emissions. </w:t>
      </w:r>
    </w:p>
    <w:p w14:paraId="374343BC" w14:textId="77777777" w:rsidR="00241E98" w:rsidRPr="00241E98" w:rsidRDefault="00241E98" w:rsidP="00A72615">
      <w:pPr>
        <w:pStyle w:val="TextBody"/>
        <w:spacing w:line="276" w:lineRule="auto"/>
        <w:rPr>
          <w:rFonts w:ascii="Times New Roman" w:hAnsi="Times New Roman" w:cs="Times New Roman"/>
          <w:b/>
        </w:rPr>
      </w:pPr>
      <w:r w:rsidRPr="00241E98">
        <w:rPr>
          <w:rFonts w:ascii="Times New Roman" w:hAnsi="Times New Roman" w:cs="Times New Roman"/>
          <w:b/>
        </w:rPr>
        <w:t>3.1 Electricity Consumption</w:t>
      </w:r>
    </w:p>
    <w:p w14:paraId="2DFA677F" w14:textId="067341A9" w:rsidR="0089538B" w:rsidRDefault="00205E6C" w:rsidP="00A72615">
      <w:pPr>
        <w:pStyle w:val="TextBody"/>
        <w:spacing w:line="276" w:lineRule="auto"/>
        <w:rPr>
          <w:rFonts w:ascii="Times New Roman" w:hAnsi="Times New Roman" w:cs="Times New Roman"/>
        </w:rPr>
      </w:pPr>
      <w:r>
        <w:rPr>
          <w:rFonts w:ascii="Times New Roman" w:hAnsi="Times New Roman" w:cs="Times New Roman"/>
        </w:rPr>
        <w:t xml:space="preserve">In terms of electricity consumption, the Integrated High Efficiency Scenario </w:t>
      </w:r>
      <w:r w:rsidR="00077DBF">
        <w:rPr>
          <w:rFonts w:ascii="Times New Roman" w:hAnsi="Times New Roman" w:cs="Times New Roman"/>
        </w:rPr>
        <w:t xml:space="preserve">reduces </w:t>
      </w:r>
      <w:r w:rsidR="00BD0D31">
        <w:rPr>
          <w:rFonts w:ascii="Times New Roman" w:hAnsi="Times New Roman" w:cs="Times New Roman"/>
        </w:rPr>
        <w:t xml:space="preserve">U.S. </w:t>
      </w:r>
      <w:r w:rsidR="00077DBF">
        <w:rPr>
          <w:rFonts w:ascii="Times New Roman" w:hAnsi="Times New Roman" w:cs="Times New Roman"/>
        </w:rPr>
        <w:t>electricity consumption by 30.9% in residential sector, 14.4% in commercial sector, and 5.3% in industrial sector in the year 2030, relative to the Reference case.</w:t>
      </w:r>
    </w:p>
    <w:p w14:paraId="59E4329E" w14:textId="75DD9CE9" w:rsidR="00077DBF" w:rsidRPr="00077DBF" w:rsidRDefault="00077DBF" w:rsidP="00A72615">
      <w:pPr>
        <w:pStyle w:val="TextBody"/>
        <w:spacing w:line="276" w:lineRule="auto"/>
        <w:jc w:val="center"/>
        <w:rPr>
          <w:rFonts w:ascii="Times New Roman" w:hAnsi="Times New Roman" w:cs="Times New Roman"/>
          <w:b/>
        </w:rPr>
      </w:pPr>
      <w:r w:rsidRPr="00077DBF">
        <w:rPr>
          <w:rFonts w:ascii="Times New Roman" w:hAnsi="Times New Roman" w:cs="Times New Roman"/>
          <w:b/>
        </w:rPr>
        <w:t>Figure 1. Electricity Consumption by Sector</w:t>
      </w:r>
    </w:p>
    <w:p w14:paraId="6D94B8DB" w14:textId="42AC51D9" w:rsidR="00077DBF" w:rsidRDefault="00077DBF" w:rsidP="00A72615">
      <w:pPr>
        <w:pStyle w:val="TextBody"/>
        <w:spacing w:line="276" w:lineRule="auto"/>
        <w:jc w:val="center"/>
        <w:rPr>
          <w:rFonts w:ascii="Times New Roman" w:hAnsi="Times New Roman" w:cs="Times New Roman"/>
        </w:rPr>
      </w:pPr>
      <w:r>
        <w:rPr>
          <w:noProof/>
          <w:lang w:eastAsia="en-US" w:bidi="ar-SA"/>
        </w:rPr>
        <w:drawing>
          <wp:inline distT="0" distB="0" distL="0" distR="0" wp14:anchorId="67CCC021" wp14:editId="271026EA">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67B6EB" w14:textId="0A6D8E0C" w:rsidR="00077DBF" w:rsidRDefault="00077DBF" w:rsidP="00A72615">
      <w:pPr>
        <w:pStyle w:val="TextBody"/>
        <w:spacing w:line="276" w:lineRule="auto"/>
        <w:jc w:val="center"/>
        <w:rPr>
          <w:rFonts w:ascii="Times New Roman" w:hAnsi="Times New Roman" w:cs="Times New Roman"/>
        </w:rPr>
      </w:pPr>
      <w:r>
        <w:rPr>
          <w:noProof/>
          <w:lang w:eastAsia="en-US" w:bidi="ar-SA"/>
        </w:rPr>
        <w:drawing>
          <wp:inline distT="0" distB="0" distL="0" distR="0" wp14:anchorId="27EF2B7E" wp14:editId="31B1B8EC">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E04AE0" w14:textId="4564D054" w:rsidR="00077DBF" w:rsidRDefault="00077DBF" w:rsidP="00A72615">
      <w:pPr>
        <w:pStyle w:val="TextBody"/>
        <w:spacing w:line="276" w:lineRule="auto"/>
        <w:jc w:val="center"/>
        <w:rPr>
          <w:rFonts w:ascii="Times New Roman" w:hAnsi="Times New Roman" w:cs="Times New Roman"/>
        </w:rPr>
      </w:pPr>
      <w:r>
        <w:rPr>
          <w:noProof/>
          <w:lang w:eastAsia="en-US" w:bidi="ar-SA"/>
        </w:rPr>
        <w:lastRenderedPageBreak/>
        <w:drawing>
          <wp:inline distT="0" distB="0" distL="0" distR="0" wp14:anchorId="47990D9E" wp14:editId="0A100E61">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BEC83B" w14:textId="63762384" w:rsidR="00F23D0C" w:rsidRDefault="00F23D0C" w:rsidP="00A72615">
      <w:pPr>
        <w:pStyle w:val="TextBody"/>
        <w:spacing w:line="276" w:lineRule="auto"/>
        <w:rPr>
          <w:rFonts w:ascii="Times New Roman" w:hAnsi="Times New Roman" w:cs="Times New Roman"/>
        </w:rPr>
      </w:pPr>
    </w:p>
    <w:p w14:paraId="58B97A2B" w14:textId="656627DD" w:rsidR="00241E98" w:rsidRDefault="00241E98" w:rsidP="00A72615">
      <w:pPr>
        <w:pStyle w:val="TextBody"/>
        <w:spacing w:line="276" w:lineRule="auto"/>
        <w:rPr>
          <w:rFonts w:ascii="Times New Roman" w:hAnsi="Times New Roman" w:cs="Times New Roman"/>
          <w:b/>
        </w:rPr>
      </w:pPr>
      <w:r>
        <w:rPr>
          <w:rFonts w:ascii="Times New Roman" w:hAnsi="Times New Roman" w:cs="Times New Roman"/>
          <w:b/>
        </w:rPr>
        <w:t>3.2</w:t>
      </w:r>
      <w:r w:rsidRPr="00241E98">
        <w:rPr>
          <w:rFonts w:ascii="Times New Roman" w:hAnsi="Times New Roman" w:cs="Times New Roman"/>
          <w:b/>
        </w:rPr>
        <w:t xml:space="preserve"> </w:t>
      </w:r>
      <w:r>
        <w:rPr>
          <w:rFonts w:ascii="Times New Roman" w:hAnsi="Times New Roman" w:cs="Times New Roman"/>
          <w:b/>
        </w:rPr>
        <w:t>CO</w:t>
      </w:r>
      <w:r w:rsidRPr="00241E98">
        <w:rPr>
          <w:rFonts w:ascii="Times New Roman" w:hAnsi="Times New Roman" w:cs="Times New Roman"/>
          <w:b/>
          <w:vertAlign w:val="subscript"/>
        </w:rPr>
        <w:t>2</w:t>
      </w:r>
      <w:r>
        <w:rPr>
          <w:rFonts w:ascii="Times New Roman" w:hAnsi="Times New Roman" w:cs="Times New Roman"/>
          <w:b/>
        </w:rPr>
        <w:t xml:space="preserve"> Emissions</w:t>
      </w:r>
    </w:p>
    <w:p w14:paraId="3C66E919" w14:textId="5B0E6C0B" w:rsidR="00241E98" w:rsidRPr="00432E4F" w:rsidRDefault="00E00849" w:rsidP="00A72615">
      <w:pPr>
        <w:pStyle w:val="TextBody"/>
        <w:spacing w:line="276" w:lineRule="auto"/>
        <w:rPr>
          <w:rFonts w:ascii="Times New Roman" w:hAnsi="Times New Roman" w:cs="Times New Roman"/>
        </w:rPr>
      </w:pPr>
      <w:r>
        <w:rPr>
          <w:rFonts w:ascii="Times New Roman" w:hAnsi="Times New Roman" w:cs="Times New Roman"/>
        </w:rPr>
        <w:t>In terms of CO</w:t>
      </w:r>
      <w:r w:rsidRPr="00043136">
        <w:rPr>
          <w:rFonts w:ascii="Times New Roman" w:hAnsi="Times New Roman" w:cs="Times New Roman"/>
          <w:vertAlign w:val="subscript"/>
        </w:rPr>
        <w:t>2</w:t>
      </w:r>
      <w:r>
        <w:rPr>
          <w:rFonts w:ascii="Times New Roman" w:hAnsi="Times New Roman" w:cs="Times New Roman"/>
        </w:rPr>
        <w:t xml:space="preserve"> emission, the Integrated High Eff</w:t>
      </w:r>
      <w:r w:rsidR="00DB1548">
        <w:rPr>
          <w:rFonts w:ascii="Times New Roman" w:hAnsi="Times New Roman" w:cs="Times New Roman"/>
        </w:rPr>
        <w:t xml:space="preserve">iciency Scenario results in </w:t>
      </w:r>
      <w:r w:rsidR="00451458">
        <w:rPr>
          <w:rFonts w:ascii="Times New Roman" w:hAnsi="Times New Roman" w:cs="Times New Roman"/>
        </w:rPr>
        <w:t xml:space="preserve">a 28.7% reduction of </w:t>
      </w:r>
      <w:r w:rsidR="00BD0D31">
        <w:rPr>
          <w:rFonts w:ascii="Times New Roman" w:hAnsi="Times New Roman" w:cs="Times New Roman"/>
        </w:rPr>
        <w:t>CO</w:t>
      </w:r>
      <w:r w:rsidR="00BD0D31" w:rsidRPr="002E5056">
        <w:rPr>
          <w:rFonts w:ascii="Times New Roman" w:hAnsi="Times New Roman" w:cs="Times New Roman"/>
          <w:vertAlign w:val="subscript"/>
        </w:rPr>
        <w:t>2</w:t>
      </w:r>
      <w:r w:rsidR="00BD0D31">
        <w:rPr>
          <w:rFonts w:ascii="Times New Roman" w:hAnsi="Times New Roman" w:cs="Times New Roman"/>
        </w:rPr>
        <w:t xml:space="preserve"> emissions</w:t>
      </w:r>
      <w:r w:rsidR="00451458">
        <w:rPr>
          <w:rFonts w:ascii="Times New Roman" w:hAnsi="Times New Roman" w:cs="Times New Roman"/>
        </w:rPr>
        <w:t xml:space="preserve"> from 2012 to 2030</w:t>
      </w:r>
      <w:r w:rsidR="00BD0D31">
        <w:rPr>
          <w:rFonts w:ascii="Times New Roman" w:hAnsi="Times New Roman" w:cs="Times New Roman"/>
        </w:rPr>
        <w:t xml:space="preserve"> in residential sector</w:t>
      </w:r>
      <w:r w:rsidR="00451458">
        <w:rPr>
          <w:rFonts w:ascii="Times New Roman" w:hAnsi="Times New Roman" w:cs="Times New Roman"/>
        </w:rPr>
        <w:t xml:space="preserve">, compared to 1.5% increases </w:t>
      </w:r>
      <w:r w:rsidR="00720321">
        <w:rPr>
          <w:rFonts w:ascii="Times New Roman" w:hAnsi="Times New Roman" w:cs="Times New Roman"/>
        </w:rPr>
        <w:t xml:space="preserve">during the same period </w:t>
      </w:r>
      <w:r w:rsidR="00451458">
        <w:rPr>
          <w:rFonts w:ascii="Times New Roman" w:hAnsi="Times New Roman" w:cs="Times New Roman"/>
        </w:rPr>
        <w:t>in the Reference case</w:t>
      </w:r>
      <w:r w:rsidR="00720321">
        <w:rPr>
          <w:rFonts w:ascii="Times New Roman" w:hAnsi="Times New Roman" w:cs="Times New Roman"/>
        </w:rPr>
        <w:t xml:space="preserve">. In the commercial sector, the Integrated High Efficiency Scenario results in a </w:t>
      </w:r>
      <w:r w:rsidR="001B1A00">
        <w:rPr>
          <w:rFonts w:ascii="Times New Roman" w:hAnsi="Times New Roman" w:cs="Times New Roman"/>
        </w:rPr>
        <w:t>5.5% reduction of CO</w:t>
      </w:r>
      <w:r w:rsidR="001B1A00" w:rsidRPr="00523E82">
        <w:rPr>
          <w:rFonts w:ascii="Times New Roman" w:hAnsi="Times New Roman" w:cs="Times New Roman"/>
          <w:vertAlign w:val="subscript"/>
        </w:rPr>
        <w:t>2</w:t>
      </w:r>
      <w:r w:rsidR="001B1A00">
        <w:rPr>
          <w:rFonts w:ascii="Times New Roman" w:hAnsi="Times New Roman" w:cs="Times New Roman"/>
        </w:rPr>
        <w:t xml:space="preserve"> emissions</w:t>
      </w:r>
      <w:r w:rsidR="009F423D">
        <w:rPr>
          <w:rFonts w:ascii="Times New Roman" w:hAnsi="Times New Roman" w:cs="Times New Roman"/>
        </w:rPr>
        <w:t xml:space="preserve"> from 2012 to 2030</w:t>
      </w:r>
      <w:r w:rsidR="001B1A00">
        <w:rPr>
          <w:rFonts w:ascii="Times New Roman" w:hAnsi="Times New Roman" w:cs="Times New Roman"/>
        </w:rPr>
        <w:t xml:space="preserve">, relative to 7.1% increases in the Reference case. In the industrial sector, </w:t>
      </w:r>
      <w:r w:rsidR="00523E82">
        <w:rPr>
          <w:rFonts w:ascii="Times New Roman" w:hAnsi="Times New Roman" w:cs="Times New Roman"/>
        </w:rPr>
        <w:t xml:space="preserve">the </w:t>
      </w:r>
      <w:r w:rsidR="001B1A00">
        <w:rPr>
          <w:rFonts w:ascii="Times New Roman" w:hAnsi="Times New Roman" w:cs="Times New Roman"/>
        </w:rPr>
        <w:t>Integrated High Efficiency Scenario</w:t>
      </w:r>
      <w:r w:rsidR="00523E82">
        <w:rPr>
          <w:rFonts w:ascii="Times New Roman" w:hAnsi="Times New Roman" w:cs="Times New Roman"/>
        </w:rPr>
        <w:t xml:space="preserve"> leads to</w:t>
      </w:r>
      <w:r w:rsidR="001B1A00">
        <w:rPr>
          <w:rFonts w:ascii="Times New Roman" w:hAnsi="Times New Roman" w:cs="Times New Roman"/>
        </w:rPr>
        <w:t xml:space="preserve"> CO</w:t>
      </w:r>
      <w:r w:rsidR="001B1A00" w:rsidRPr="009F423D">
        <w:rPr>
          <w:rFonts w:ascii="Times New Roman" w:hAnsi="Times New Roman" w:cs="Times New Roman"/>
          <w:vertAlign w:val="subscript"/>
        </w:rPr>
        <w:t xml:space="preserve">2 </w:t>
      </w:r>
      <w:r w:rsidR="001B1A00">
        <w:rPr>
          <w:rFonts w:ascii="Times New Roman" w:hAnsi="Times New Roman" w:cs="Times New Roman"/>
        </w:rPr>
        <w:t>emission</w:t>
      </w:r>
      <w:r w:rsidR="00523E82">
        <w:rPr>
          <w:rFonts w:ascii="Times New Roman" w:hAnsi="Times New Roman" w:cs="Times New Roman"/>
        </w:rPr>
        <w:t xml:space="preserve"> </w:t>
      </w:r>
      <w:r w:rsidR="009F423D">
        <w:rPr>
          <w:rFonts w:ascii="Times New Roman" w:hAnsi="Times New Roman" w:cs="Times New Roman"/>
        </w:rPr>
        <w:t>increase</w:t>
      </w:r>
      <w:r w:rsidR="001B1A00">
        <w:rPr>
          <w:rFonts w:ascii="Times New Roman" w:hAnsi="Times New Roman" w:cs="Times New Roman"/>
        </w:rPr>
        <w:t xml:space="preserve">s by </w:t>
      </w:r>
      <w:r w:rsidR="009F423D">
        <w:rPr>
          <w:rFonts w:ascii="Times New Roman" w:hAnsi="Times New Roman" w:cs="Times New Roman"/>
        </w:rPr>
        <w:t>7.6</w:t>
      </w:r>
      <w:r w:rsidR="00C34AFA">
        <w:rPr>
          <w:rFonts w:ascii="Times New Roman" w:hAnsi="Times New Roman" w:cs="Times New Roman"/>
        </w:rPr>
        <w:t>% for the same period</w:t>
      </w:r>
      <w:r w:rsidR="001B1A00">
        <w:rPr>
          <w:rFonts w:ascii="Times New Roman" w:hAnsi="Times New Roman" w:cs="Times New Roman"/>
        </w:rPr>
        <w:t>, rel</w:t>
      </w:r>
      <w:r w:rsidR="009F423D">
        <w:rPr>
          <w:rFonts w:ascii="Times New Roman" w:hAnsi="Times New Roman" w:cs="Times New Roman"/>
        </w:rPr>
        <w:t>ative to 16.0</w:t>
      </w:r>
      <w:r w:rsidR="001B1A00">
        <w:rPr>
          <w:rFonts w:ascii="Times New Roman" w:hAnsi="Times New Roman" w:cs="Times New Roman"/>
        </w:rPr>
        <w:t xml:space="preserve">% increases in the Reference case. Overall, </w:t>
      </w:r>
      <w:r w:rsidR="00545448">
        <w:rPr>
          <w:rFonts w:ascii="Times New Roman" w:hAnsi="Times New Roman" w:cs="Times New Roman"/>
        </w:rPr>
        <w:t>the Inte</w:t>
      </w:r>
      <w:r w:rsidR="00036D62">
        <w:rPr>
          <w:rFonts w:ascii="Times New Roman" w:hAnsi="Times New Roman" w:cs="Times New Roman"/>
        </w:rPr>
        <w:t>grated High Efficiency p</w:t>
      </w:r>
      <w:r w:rsidR="001B1A00">
        <w:rPr>
          <w:rFonts w:ascii="Times New Roman" w:hAnsi="Times New Roman" w:cs="Times New Roman"/>
        </w:rPr>
        <w:t xml:space="preserve">olicies </w:t>
      </w:r>
      <w:r w:rsidR="00545448">
        <w:rPr>
          <w:rFonts w:ascii="Times New Roman" w:hAnsi="Times New Roman" w:cs="Times New Roman"/>
        </w:rPr>
        <w:t xml:space="preserve">will </w:t>
      </w:r>
      <w:r w:rsidR="00523E82">
        <w:rPr>
          <w:rFonts w:ascii="Times New Roman" w:hAnsi="Times New Roman" w:cs="Times New Roman"/>
        </w:rPr>
        <w:t xml:space="preserve">contribute to </w:t>
      </w:r>
      <w:r w:rsidR="00545448">
        <w:rPr>
          <w:rFonts w:ascii="Times New Roman" w:hAnsi="Times New Roman" w:cs="Times New Roman"/>
        </w:rPr>
        <w:t>reduce CO</w:t>
      </w:r>
      <w:r w:rsidR="00545448" w:rsidRPr="00523E82">
        <w:rPr>
          <w:rFonts w:ascii="Times New Roman" w:hAnsi="Times New Roman" w:cs="Times New Roman"/>
          <w:vertAlign w:val="subscript"/>
        </w:rPr>
        <w:t>2</w:t>
      </w:r>
      <w:r w:rsidR="00545448">
        <w:rPr>
          <w:rFonts w:ascii="Times New Roman" w:hAnsi="Times New Roman" w:cs="Times New Roman"/>
        </w:rPr>
        <w:t xml:space="preserve"> emissions by 6.6% </w:t>
      </w:r>
      <w:r w:rsidR="009F423D">
        <w:rPr>
          <w:rFonts w:ascii="Times New Roman" w:hAnsi="Times New Roman" w:cs="Times New Roman"/>
        </w:rPr>
        <w:t>from 2012 to</w:t>
      </w:r>
      <w:r w:rsidR="00545448">
        <w:rPr>
          <w:rFonts w:ascii="Times New Roman" w:hAnsi="Times New Roman" w:cs="Times New Roman"/>
        </w:rPr>
        <w:t xml:space="preserve"> 2030</w:t>
      </w:r>
      <w:r w:rsidR="001B1A00">
        <w:rPr>
          <w:rFonts w:ascii="Times New Roman" w:hAnsi="Times New Roman" w:cs="Times New Roman"/>
        </w:rPr>
        <w:t xml:space="preserve"> in all sectors (including electric power and transportation sectors)</w:t>
      </w:r>
      <w:r w:rsidR="00545448">
        <w:rPr>
          <w:rFonts w:ascii="Times New Roman" w:hAnsi="Times New Roman" w:cs="Times New Roman"/>
        </w:rPr>
        <w:t>, while the U.S. would emi</w:t>
      </w:r>
      <w:r w:rsidR="00661E47">
        <w:rPr>
          <w:rFonts w:ascii="Times New Roman" w:hAnsi="Times New Roman" w:cs="Times New Roman"/>
        </w:rPr>
        <w:t>t 4.3% more CO</w:t>
      </w:r>
      <w:r w:rsidR="00661E47" w:rsidRPr="00661E47">
        <w:rPr>
          <w:rFonts w:ascii="Times New Roman" w:hAnsi="Times New Roman" w:cs="Times New Roman"/>
          <w:vertAlign w:val="subscript"/>
        </w:rPr>
        <w:t>2</w:t>
      </w:r>
      <w:r w:rsidR="00661E47">
        <w:rPr>
          <w:rFonts w:ascii="Times New Roman" w:hAnsi="Times New Roman" w:cs="Times New Roman"/>
        </w:rPr>
        <w:t xml:space="preserve"> </w:t>
      </w:r>
      <w:r w:rsidR="009F423D">
        <w:rPr>
          <w:rFonts w:ascii="Times New Roman" w:hAnsi="Times New Roman" w:cs="Times New Roman"/>
        </w:rPr>
        <w:t>during the same period</w:t>
      </w:r>
      <w:r w:rsidR="00545448">
        <w:rPr>
          <w:rFonts w:ascii="Times New Roman" w:hAnsi="Times New Roman" w:cs="Times New Roman"/>
        </w:rPr>
        <w:t xml:space="preserve"> in the business-as-usual case. </w:t>
      </w:r>
      <w:r w:rsidR="00241E98">
        <w:rPr>
          <w:rFonts w:ascii="Times New Roman" w:hAnsi="Times New Roman" w:cs="Times New Roman"/>
          <w:b/>
        </w:rPr>
        <w:br w:type="page"/>
      </w:r>
    </w:p>
    <w:p w14:paraId="53F4ED1F" w14:textId="530948B6" w:rsidR="00241E98" w:rsidRDefault="00241E98" w:rsidP="00A72615">
      <w:pPr>
        <w:pStyle w:val="TextBody"/>
        <w:spacing w:line="276" w:lineRule="auto"/>
        <w:jc w:val="center"/>
        <w:rPr>
          <w:rFonts w:ascii="Times New Roman" w:hAnsi="Times New Roman" w:cs="Times New Roman"/>
          <w:b/>
        </w:rPr>
      </w:pPr>
      <w:r>
        <w:rPr>
          <w:rFonts w:ascii="Times New Roman" w:hAnsi="Times New Roman" w:cs="Times New Roman"/>
          <w:b/>
        </w:rPr>
        <w:lastRenderedPageBreak/>
        <w:t>Figure 2</w:t>
      </w:r>
      <w:r w:rsidRPr="002E5056">
        <w:rPr>
          <w:rFonts w:ascii="Times New Roman" w:hAnsi="Times New Roman" w:cs="Times New Roman"/>
          <w:b/>
        </w:rPr>
        <w:t>. Energy-Related CO</w:t>
      </w:r>
      <w:r w:rsidRPr="002E5056">
        <w:rPr>
          <w:rFonts w:ascii="Times New Roman" w:hAnsi="Times New Roman" w:cs="Times New Roman"/>
          <w:b/>
          <w:vertAlign w:val="subscript"/>
        </w:rPr>
        <w:t>2</w:t>
      </w:r>
      <w:r w:rsidRPr="002E5056">
        <w:rPr>
          <w:rFonts w:ascii="Times New Roman" w:hAnsi="Times New Roman" w:cs="Times New Roman"/>
          <w:b/>
        </w:rPr>
        <w:t xml:space="preserve"> Emissions </w:t>
      </w:r>
      <w:r>
        <w:rPr>
          <w:rFonts w:ascii="Times New Roman" w:hAnsi="Times New Roman" w:cs="Times New Roman"/>
          <w:b/>
        </w:rPr>
        <w:t>of the U.S. and Its Electric Power Sector</w:t>
      </w:r>
    </w:p>
    <w:p w14:paraId="6D070B7A" w14:textId="15432D22" w:rsidR="0043644F" w:rsidRDefault="0043644F" w:rsidP="00A72615">
      <w:pPr>
        <w:pStyle w:val="TextBody"/>
        <w:spacing w:line="276" w:lineRule="auto"/>
        <w:jc w:val="center"/>
        <w:rPr>
          <w:rFonts w:ascii="Times New Roman" w:hAnsi="Times New Roman" w:cs="Times New Roman"/>
          <w:b/>
        </w:rPr>
      </w:pPr>
      <w:r>
        <w:rPr>
          <w:noProof/>
          <w:lang w:eastAsia="en-US" w:bidi="ar-SA"/>
        </w:rPr>
        <w:drawing>
          <wp:inline distT="0" distB="0" distL="0" distR="0" wp14:anchorId="4D2728CC" wp14:editId="713DFF8B">
            <wp:extent cx="4123690" cy="2678430"/>
            <wp:effectExtent l="0" t="0" r="1651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A6FA2C" w14:textId="2B23CB73" w:rsidR="00241E98" w:rsidRPr="002E5056" w:rsidRDefault="0043644F" w:rsidP="00A72615">
      <w:pPr>
        <w:pStyle w:val="TextBody"/>
        <w:spacing w:line="276" w:lineRule="auto"/>
        <w:jc w:val="center"/>
        <w:rPr>
          <w:rFonts w:ascii="Times New Roman" w:hAnsi="Times New Roman" w:cs="Times New Roman"/>
          <w:b/>
        </w:rPr>
      </w:pPr>
      <w:r>
        <w:rPr>
          <w:noProof/>
          <w:lang w:eastAsia="en-US" w:bidi="ar-SA"/>
        </w:rPr>
        <w:drawing>
          <wp:inline distT="0" distB="0" distL="0" distR="0" wp14:anchorId="5E6B98A1" wp14:editId="1C709F7A">
            <wp:extent cx="4110990" cy="2373630"/>
            <wp:effectExtent l="0" t="0" r="2921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601C6C" w14:textId="6CC0CEF0" w:rsidR="002E5056" w:rsidRPr="002E5056" w:rsidRDefault="00241E98" w:rsidP="00A72615">
      <w:pPr>
        <w:pStyle w:val="TextBody"/>
        <w:spacing w:line="276" w:lineRule="auto"/>
        <w:jc w:val="center"/>
        <w:rPr>
          <w:rFonts w:ascii="Times New Roman" w:hAnsi="Times New Roman" w:cs="Times New Roman"/>
          <w:b/>
        </w:rPr>
      </w:pPr>
      <w:r>
        <w:rPr>
          <w:rFonts w:ascii="Times New Roman" w:hAnsi="Times New Roman" w:cs="Times New Roman"/>
          <w:b/>
        </w:rPr>
        <w:t>Figure 3</w:t>
      </w:r>
      <w:r w:rsidR="002E5056" w:rsidRPr="002E5056">
        <w:rPr>
          <w:rFonts w:ascii="Times New Roman" w:hAnsi="Times New Roman" w:cs="Times New Roman"/>
          <w:b/>
        </w:rPr>
        <w:t>. Energy-Related CO</w:t>
      </w:r>
      <w:r w:rsidR="002E5056" w:rsidRPr="002E5056">
        <w:rPr>
          <w:rFonts w:ascii="Times New Roman" w:hAnsi="Times New Roman" w:cs="Times New Roman"/>
          <w:b/>
          <w:vertAlign w:val="subscript"/>
        </w:rPr>
        <w:t>2</w:t>
      </w:r>
      <w:r w:rsidR="002E5056" w:rsidRPr="002E5056">
        <w:rPr>
          <w:rFonts w:ascii="Times New Roman" w:hAnsi="Times New Roman" w:cs="Times New Roman"/>
          <w:b/>
        </w:rPr>
        <w:t xml:space="preserve"> Emissions by Sector</w:t>
      </w:r>
    </w:p>
    <w:p w14:paraId="5AA24F97" w14:textId="0FA4CE8C" w:rsidR="002E5056" w:rsidRDefault="00241E98" w:rsidP="00A72615">
      <w:pPr>
        <w:pStyle w:val="TextBody"/>
        <w:spacing w:line="276" w:lineRule="auto"/>
        <w:jc w:val="center"/>
        <w:rPr>
          <w:rFonts w:ascii="Times New Roman" w:hAnsi="Times New Roman" w:cs="Times New Roman"/>
        </w:rPr>
      </w:pPr>
      <w:r>
        <w:rPr>
          <w:noProof/>
          <w:lang w:eastAsia="en-US" w:bidi="ar-SA"/>
        </w:rPr>
        <w:drawing>
          <wp:inline distT="0" distB="0" distL="0" distR="0" wp14:anchorId="40948AEE" wp14:editId="5E345319">
            <wp:extent cx="4161790" cy="2170430"/>
            <wp:effectExtent l="0" t="0" r="2921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7D3E40" w14:textId="77777777" w:rsidR="00432E4F" w:rsidRDefault="00432E4F" w:rsidP="00A72615">
      <w:pPr>
        <w:pStyle w:val="TextBody"/>
        <w:spacing w:line="276" w:lineRule="auto"/>
        <w:jc w:val="center"/>
        <w:rPr>
          <w:rFonts w:ascii="Times New Roman" w:hAnsi="Times New Roman" w:cs="Times New Roman"/>
        </w:rPr>
      </w:pPr>
      <w:r>
        <w:rPr>
          <w:noProof/>
          <w:lang w:eastAsia="en-US" w:bidi="ar-SA"/>
        </w:rPr>
        <w:lastRenderedPageBreak/>
        <w:drawing>
          <wp:inline distT="0" distB="0" distL="0" distR="0" wp14:anchorId="7A6B81CC" wp14:editId="542E79DA">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953B1D" w14:textId="1740C170" w:rsidR="001E4594" w:rsidRDefault="00432E4F" w:rsidP="00A72615">
      <w:pPr>
        <w:pStyle w:val="TextBody"/>
        <w:spacing w:line="276" w:lineRule="auto"/>
        <w:jc w:val="center"/>
        <w:rPr>
          <w:rFonts w:ascii="Times New Roman" w:hAnsi="Times New Roman" w:cs="Times New Roman"/>
        </w:rPr>
      </w:pPr>
      <w:r>
        <w:rPr>
          <w:noProof/>
          <w:lang w:eastAsia="en-US" w:bidi="ar-SA"/>
        </w:rPr>
        <w:drawing>
          <wp:inline distT="0" distB="0" distL="0" distR="0" wp14:anchorId="2EB0F10D" wp14:editId="11AA7A9C">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9B1A2C" w14:textId="77777777" w:rsidR="009B6D4B" w:rsidRDefault="009B6D4B" w:rsidP="00A72615">
      <w:pPr>
        <w:pStyle w:val="TextBody"/>
        <w:spacing w:line="276" w:lineRule="auto"/>
        <w:rPr>
          <w:rFonts w:ascii="Times New Roman" w:hAnsi="Times New Roman" w:cs="Times New Roman"/>
        </w:rPr>
      </w:pPr>
    </w:p>
    <w:p w14:paraId="0247CE66" w14:textId="050310FE" w:rsidR="009B6D4B" w:rsidRDefault="00C51A3B" w:rsidP="00A72615">
      <w:pPr>
        <w:pStyle w:val="TextBody"/>
        <w:spacing w:line="276" w:lineRule="auto"/>
        <w:rPr>
          <w:rFonts w:ascii="Times New Roman" w:hAnsi="Times New Roman" w:cs="Times New Roman"/>
          <w:b/>
        </w:rPr>
      </w:pPr>
      <w:r w:rsidRPr="00C51A3B">
        <w:rPr>
          <w:rFonts w:ascii="Times New Roman" w:hAnsi="Times New Roman" w:cs="Times New Roman"/>
          <w:b/>
        </w:rPr>
        <w:t>3.3 Electricity Fuel Mix</w:t>
      </w:r>
    </w:p>
    <w:p w14:paraId="411B83BC" w14:textId="56488EA4" w:rsidR="001E198D" w:rsidRPr="001E198D" w:rsidRDefault="001E198D" w:rsidP="00A72615">
      <w:pPr>
        <w:pStyle w:val="TextBody"/>
        <w:spacing w:line="276" w:lineRule="auto"/>
        <w:rPr>
          <w:rFonts w:ascii="Times New Roman" w:hAnsi="Times New Roman" w:cs="Times New Roman"/>
        </w:rPr>
      </w:pPr>
      <w:r w:rsidRPr="001E198D">
        <w:rPr>
          <w:rFonts w:ascii="Times New Roman" w:hAnsi="Times New Roman" w:cs="Times New Roman"/>
        </w:rPr>
        <w:t>Turning to the impacts of the</w:t>
      </w:r>
      <w:r>
        <w:rPr>
          <w:rFonts w:ascii="Times New Roman" w:hAnsi="Times New Roman" w:cs="Times New Roman"/>
        </w:rPr>
        <w:t xml:space="preserve"> integrated high efficiency case upon</w:t>
      </w:r>
      <w:r w:rsidR="0035518E">
        <w:rPr>
          <w:rFonts w:ascii="Times New Roman" w:hAnsi="Times New Roman" w:cs="Times New Roman"/>
        </w:rPr>
        <w:t xml:space="preserve"> the</w:t>
      </w:r>
      <w:r>
        <w:rPr>
          <w:rFonts w:ascii="Times New Roman" w:hAnsi="Times New Roman" w:cs="Times New Roman"/>
        </w:rPr>
        <w:t xml:space="preserve"> electric power</w:t>
      </w:r>
      <w:r w:rsidR="0035518E">
        <w:rPr>
          <w:rFonts w:ascii="Times New Roman" w:hAnsi="Times New Roman" w:cs="Times New Roman"/>
        </w:rPr>
        <w:t xml:space="preserve"> industry</w:t>
      </w:r>
      <w:r>
        <w:rPr>
          <w:rFonts w:ascii="Times New Roman" w:hAnsi="Times New Roman" w:cs="Times New Roman"/>
        </w:rPr>
        <w:t xml:space="preserve">, we find that the </w:t>
      </w:r>
      <w:r w:rsidR="00A12297">
        <w:rPr>
          <w:rFonts w:ascii="Times New Roman" w:hAnsi="Times New Roman" w:cs="Times New Roman"/>
        </w:rPr>
        <w:t xml:space="preserve">Integrated High Efficiency Policy Scenario reduces electricity generation dramatically while causing some changes to the US generation portfolio. </w:t>
      </w:r>
      <w:r w:rsidR="00756E4C">
        <w:rPr>
          <w:rFonts w:ascii="Times New Roman" w:hAnsi="Times New Roman" w:cs="Times New Roman"/>
        </w:rPr>
        <w:t xml:space="preserve">Figure 4 below displays these major impacts. The Integrated High Efficiency Scenario reduces total electricity generation by 14% compared to the reference case. Meanwhile, the Integrated High Efficiency Scenario does little to affect the trajectory of coal’s share of the generation portfolio; in 2030, coal’s share of US generation differs by less than 1% between the Integrated High Efficiency Scenario and the reference case. Natural gas’s share of the generation portfolio </w:t>
      </w:r>
      <w:r w:rsidR="0073773C">
        <w:rPr>
          <w:rFonts w:ascii="Times New Roman" w:hAnsi="Times New Roman" w:cs="Times New Roman"/>
        </w:rPr>
        <w:t xml:space="preserve">in 2030 under the High Efficiency Scenario is 5 percentages points lesser than in the reference case. Finally, the share of the US generation portfolio constituted by renewable sources is </w:t>
      </w:r>
      <w:r w:rsidR="0073773C">
        <w:rPr>
          <w:rFonts w:ascii="Times New Roman" w:hAnsi="Times New Roman" w:cs="Times New Roman"/>
        </w:rPr>
        <w:lastRenderedPageBreak/>
        <w:t>only 1% greater under the Integrated High Efficiency Scenario than under the reference case.</w:t>
      </w:r>
    </w:p>
    <w:p w14:paraId="57998814" w14:textId="74D20F0F" w:rsidR="001E198D" w:rsidRPr="00A12297" w:rsidRDefault="00A12297" w:rsidP="00A72615">
      <w:pPr>
        <w:pStyle w:val="TextBody"/>
        <w:spacing w:line="276" w:lineRule="auto"/>
        <w:jc w:val="center"/>
        <w:rPr>
          <w:rFonts w:ascii="Times New Roman" w:hAnsi="Times New Roman" w:cs="Times New Roman"/>
          <w:b/>
        </w:rPr>
      </w:pPr>
      <w:r>
        <w:rPr>
          <w:rFonts w:ascii="Times New Roman" w:hAnsi="Times New Roman" w:cs="Times New Roman"/>
          <w:b/>
        </w:rPr>
        <w:t>Figure 4: Electric power supply impacts of the integrated high efficiency case</w:t>
      </w:r>
    </w:p>
    <w:p w14:paraId="29862979" w14:textId="54FB1918" w:rsidR="00A12297" w:rsidRDefault="00A12297" w:rsidP="00A72615">
      <w:pPr>
        <w:pStyle w:val="TextBody"/>
        <w:spacing w:line="276" w:lineRule="auto"/>
        <w:rPr>
          <w:rFonts w:ascii="Times New Roman" w:hAnsi="Times New Roman" w:cs="Times New Roman"/>
        </w:rPr>
      </w:pPr>
      <w:r>
        <w:rPr>
          <w:noProof/>
          <w:lang w:eastAsia="en-US" w:bidi="ar-SA"/>
        </w:rPr>
        <w:drawing>
          <wp:inline distT="0" distB="0" distL="0" distR="0" wp14:anchorId="08199077" wp14:editId="68ED49AF">
            <wp:extent cx="3076575" cy="20669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b/>
        </w:rPr>
        <w:t xml:space="preserve">   </w:t>
      </w:r>
      <w:r w:rsidR="001E198D">
        <w:rPr>
          <w:noProof/>
          <w:lang w:eastAsia="en-US" w:bidi="ar-SA"/>
        </w:rPr>
        <w:drawing>
          <wp:inline distT="0" distB="0" distL="0" distR="0" wp14:anchorId="342F31C6" wp14:editId="09B75168">
            <wp:extent cx="3067050" cy="20859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E198D">
        <w:rPr>
          <w:rFonts w:ascii="Times New Roman" w:hAnsi="Times New Roman" w:cs="Times New Roman"/>
        </w:rPr>
        <w:t xml:space="preserve">  </w:t>
      </w:r>
    </w:p>
    <w:p w14:paraId="496C384D" w14:textId="0DDAB48F" w:rsidR="00D81B5F" w:rsidRPr="00A12297" w:rsidRDefault="001E198D" w:rsidP="00A72615">
      <w:pPr>
        <w:pStyle w:val="TextBody"/>
        <w:spacing w:line="276" w:lineRule="auto"/>
        <w:rPr>
          <w:rFonts w:ascii="Times New Roman" w:hAnsi="Times New Roman" w:cs="Times New Roman"/>
          <w:b/>
        </w:rPr>
      </w:pPr>
      <w:r>
        <w:rPr>
          <w:noProof/>
          <w:lang w:eastAsia="en-US" w:bidi="ar-SA"/>
        </w:rPr>
        <w:drawing>
          <wp:inline distT="0" distB="0" distL="0" distR="0" wp14:anchorId="2623F18B" wp14:editId="64B93786">
            <wp:extent cx="3067050" cy="23717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12297">
        <w:rPr>
          <w:rFonts w:ascii="Times New Roman" w:hAnsi="Times New Roman" w:cs="Times New Roman"/>
          <w:b/>
        </w:rPr>
        <w:t xml:space="preserve">   </w:t>
      </w:r>
      <w:r w:rsidR="00135DAF">
        <w:rPr>
          <w:noProof/>
          <w:lang w:eastAsia="en-US" w:bidi="ar-SA"/>
        </w:rPr>
        <w:drawing>
          <wp:inline distT="0" distB="0" distL="0" distR="0" wp14:anchorId="7682CD52" wp14:editId="1DB042A0">
            <wp:extent cx="3067050" cy="23717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1C8AD6" w14:textId="77777777" w:rsidR="000352BD" w:rsidRDefault="000352BD" w:rsidP="00A72615">
      <w:pPr>
        <w:pStyle w:val="TextBody"/>
        <w:spacing w:line="276" w:lineRule="auto"/>
        <w:rPr>
          <w:rFonts w:ascii="Times New Roman" w:hAnsi="Times New Roman" w:cs="Times New Roman"/>
        </w:rPr>
      </w:pPr>
    </w:p>
    <w:p w14:paraId="61AF9638" w14:textId="5C17F504" w:rsidR="00C51A3B" w:rsidRDefault="00C51A3B" w:rsidP="00A72615">
      <w:pPr>
        <w:pStyle w:val="TextBody"/>
        <w:spacing w:line="276" w:lineRule="auto"/>
        <w:rPr>
          <w:rFonts w:ascii="Times New Roman" w:hAnsi="Times New Roman" w:cs="Times New Roman"/>
          <w:b/>
        </w:rPr>
      </w:pPr>
      <w:r w:rsidRPr="00C51A3B">
        <w:rPr>
          <w:rFonts w:ascii="Times New Roman" w:hAnsi="Times New Roman" w:cs="Times New Roman"/>
          <w:b/>
        </w:rPr>
        <w:t>3.4 Electricity Prices</w:t>
      </w:r>
    </w:p>
    <w:p w14:paraId="2DBAB393" w14:textId="291CABC0" w:rsidR="0022730E" w:rsidRDefault="0022730E" w:rsidP="00A72615">
      <w:pPr>
        <w:pStyle w:val="TextBody"/>
        <w:spacing w:line="276" w:lineRule="auto"/>
        <w:rPr>
          <w:rFonts w:ascii="Times New Roman" w:hAnsi="Times New Roman" w:cs="Times New Roman"/>
        </w:rPr>
      </w:pPr>
      <w:r>
        <w:rPr>
          <w:rFonts w:ascii="Times New Roman" w:hAnsi="Times New Roman" w:cs="Times New Roman"/>
        </w:rPr>
        <w:t>The impact of the Integrated High Efficiency Policy Scenario upon electricity prices is negative across the three demand sectors. Although the residential sector experiences a price increase in the early years of the forecast (2014-2024), the trend reverses in 2025; by 2030, the residential electricity price in the Integrated High Efficiency Scenario is 2% less</w:t>
      </w:r>
      <w:r w:rsidR="00F96559">
        <w:rPr>
          <w:rFonts w:ascii="Times New Roman" w:hAnsi="Times New Roman" w:cs="Times New Roman"/>
        </w:rPr>
        <w:t>er</w:t>
      </w:r>
      <w:r>
        <w:rPr>
          <w:rFonts w:ascii="Times New Roman" w:hAnsi="Times New Roman" w:cs="Times New Roman"/>
        </w:rPr>
        <w:t xml:space="preserve"> than </w:t>
      </w:r>
      <w:r w:rsidR="00F96559">
        <w:rPr>
          <w:rFonts w:ascii="Times New Roman" w:hAnsi="Times New Roman" w:cs="Times New Roman"/>
        </w:rPr>
        <w:t xml:space="preserve">that of </w:t>
      </w:r>
      <w:r>
        <w:rPr>
          <w:rFonts w:ascii="Times New Roman" w:hAnsi="Times New Roman" w:cs="Times New Roman"/>
        </w:rPr>
        <w:t xml:space="preserve">the reference case. For the commercial sector, the </w:t>
      </w:r>
      <w:r w:rsidR="001A4225">
        <w:rPr>
          <w:rFonts w:ascii="Times New Roman" w:hAnsi="Times New Roman" w:cs="Times New Roman"/>
        </w:rPr>
        <w:t xml:space="preserve">2030 </w:t>
      </w:r>
      <w:r>
        <w:rPr>
          <w:rFonts w:ascii="Times New Roman" w:hAnsi="Times New Roman" w:cs="Times New Roman"/>
        </w:rPr>
        <w:t xml:space="preserve">electricity price in the Integrated High Efficiency Scenario is 4% </w:t>
      </w:r>
      <w:r w:rsidR="00F96559">
        <w:rPr>
          <w:rFonts w:ascii="Times New Roman" w:hAnsi="Times New Roman" w:cs="Times New Roman"/>
        </w:rPr>
        <w:t>lesser than that of the reference case. For the industrial sector, the 2030 electricity price in the Integrated High Efficiency Scenario is 6% lesser than that of the reference case.</w:t>
      </w:r>
    </w:p>
    <w:p w14:paraId="14070B90" w14:textId="77777777" w:rsidR="000352BD" w:rsidRDefault="000352BD" w:rsidP="00A72615">
      <w:pPr>
        <w:pStyle w:val="TextBody"/>
        <w:spacing w:line="276" w:lineRule="auto"/>
        <w:jc w:val="center"/>
        <w:rPr>
          <w:rFonts w:ascii="Times New Roman" w:hAnsi="Times New Roman" w:cs="Times New Roman"/>
          <w:b/>
        </w:rPr>
      </w:pPr>
    </w:p>
    <w:p w14:paraId="6D53424A" w14:textId="77777777" w:rsidR="000352BD" w:rsidRDefault="000352BD" w:rsidP="00A72615">
      <w:pPr>
        <w:pStyle w:val="TextBody"/>
        <w:spacing w:line="276" w:lineRule="auto"/>
        <w:jc w:val="center"/>
        <w:rPr>
          <w:rFonts w:ascii="Times New Roman" w:hAnsi="Times New Roman" w:cs="Times New Roman"/>
          <w:b/>
        </w:rPr>
      </w:pPr>
    </w:p>
    <w:p w14:paraId="0D90CBED" w14:textId="77777777" w:rsidR="004E756B" w:rsidRDefault="004E756B">
      <w:pPr>
        <w:widowControl/>
        <w:suppressAutoHyphens w:val="0"/>
        <w:rPr>
          <w:rFonts w:ascii="Times New Roman" w:hAnsi="Times New Roman" w:cs="Times New Roman"/>
          <w:b/>
        </w:rPr>
      </w:pPr>
      <w:r>
        <w:rPr>
          <w:rFonts w:ascii="Times New Roman" w:hAnsi="Times New Roman" w:cs="Times New Roman"/>
          <w:b/>
        </w:rPr>
        <w:br w:type="page"/>
      </w:r>
    </w:p>
    <w:p w14:paraId="01297296" w14:textId="5585EAE2" w:rsidR="00A025CA" w:rsidRPr="00A025CA" w:rsidRDefault="00A025CA" w:rsidP="006E3D13">
      <w:pPr>
        <w:pStyle w:val="TextBody"/>
        <w:spacing w:line="276" w:lineRule="auto"/>
        <w:rPr>
          <w:rFonts w:ascii="Times New Roman" w:hAnsi="Times New Roman" w:cs="Times New Roman"/>
          <w:b/>
        </w:rPr>
      </w:pPr>
      <w:r>
        <w:rPr>
          <w:rFonts w:ascii="Times New Roman" w:hAnsi="Times New Roman" w:cs="Times New Roman"/>
          <w:b/>
        </w:rPr>
        <w:lastRenderedPageBreak/>
        <w:t>Figure 5: Electricity prices by sector</w:t>
      </w:r>
    </w:p>
    <w:p w14:paraId="6ED3964A" w14:textId="63A9B8F5" w:rsidR="00135DAF" w:rsidRDefault="00135DAF" w:rsidP="00A72615">
      <w:pPr>
        <w:pStyle w:val="TextBody"/>
        <w:spacing w:line="276" w:lineRule="auto"/>
        <w:rPr>
          <w:rFonts w:ascii="Times New Roman" w:hAnsi="Times New Roman" w:cs="Times New Roman"/>
        </w:rPr>
      </w:pPr>
      <w:r>
        <w:rPr>
          <w:noProof/>
          <w:lang w:eastAsia="en-US" w:bidi="ar-SA"/>
        </w:rPr>
        <w:drawing>
          <wp:anchor distT="0" distB="0" distL="114300" distR="114300" simplePos="0" relativeHeight="251670528" behindDoc="0" locked="0" layoutInCell="1" allowOverlap="1" wp14:anchorId="7E6C1CAC" wp14:editId="2799BD4B">
            <wp:simplePos x="723900" y="1628775"/>
            <wp:positionH relativeFrom="margin">
              <wp:align>left</wp:align>
            </wp:positionH>
            <wp:positionV relativeFrom="paragraph">
              <wp:align>top</wp:align>
            </wp:positionV>
            <wp:extent cx="3028950" cy="1933575"/>
            <wp:effectExtent l="0" t="0" r="0" b="952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noProof/>
          <w:lang w:eastAsia="en-US" w:bidi="ar-SA"/>
        </w:rPr>
        <w:drawing>
          <wp:inline distT="0" distB="0" distL="0" distR="0" wp14:anchorId="4B445FC2" wp14:editId="0966B1C0">
            <wp:extent cx="3124200" cy="19431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14CBA2" w14:textId="0A6EC02B" w:rsidR="00135DAF" w:rsidRDefault="00135DAF" w:rsidP="00A72615">
      <w:pPr>
        <w:pStyle w:val="TextBody"/>
        <w:spacing w:line="276" w:lineRule="auto"/>
        <w:rPr>
          <w:rFonts w:ascii="Times New Roman" w:hAnsi="Times New Roman" w:cs="Times New Roman"/>
        </w:rPr>
      </w:pPr>
      <w:r>
        <w:rPr>
          <w:noProof/>
          <w:lang w:eastAsia="en-US" w:bidi="ar-SA"/>
        </w:rPr>
        <w:drawing>
          <wp:inline distT="0" distB="0" distL="0" distR="0" wp14:anchorId="55CEE565" wp14:editId="59A2903E">
            <wp:extent cx="3248025" cy="16859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1F750B" w14:textId="77777777" w:rsidR="00C51A3B" w:rsidRDefault="00C51A3B" w:rsidP="00A72615">
      <w:pPr>
        <w:pStyle w:val="TextBody"/>
        <w:spacing w:line="276" w:lineRule="auto"/>
        <w:rPr>
          <w:rFonts w:ascii="Times New Roman" w:hAnsi="Times New Roman" w:cs="Times New Roman"/>
        </w:rPr>
      </w:pPr>
    </w:p>
    <w:p w14:paraId="5E01DEAA" w14:textId="308462A8" w:rsidR="00135DAF" w:rsidRDefault="00C51A3B" w:rsidP="00A72615">
      <w:pPr>
        <w:pStyle w:val="TextBody"/>
        <w:spacing w:line="276" w:lineRule="auto"/>
        <w:rPr>
          <w:rFonts w:ascii="Times New Roman" w:hAnsi="Times New Roman" w:cs="Times New Roman"/>
          <w:b/>
        </w:rPr>
      </w:pPr>
      <w:r w:rsidRPr="00C51A3B">
        <w:rPr>
          <w:rFonts w:ascii="Times New Roman" w:hAnsi="Times New Roman" w:cs="Times New Roman"/>
          <w:b/>
        </w:rPr>
        <w:t>3.5 Macroeconomic Indicators</w:t>
      </w:r>
    </w:p>
    <w:p w14:paraId="0C147C4F" w14:textId="504063B4" w:rsidR="00001F2A" w:rsidRDefault="004B3780" w:rsidP="009670EA">
      <w:pPr>
        <w:pStyle w:val="TextBody"/>
        <w:spacing w:line="276" w:lineRule="auto"/>
        <w:rPr>
          <w:rFonts w:ascii="Times New Roman" w:hAnsi="Times New Roman" w:cs="Times New Roman"/>
        </w:rPr>
      </w:pPr>
      <w:r w:rsidRPr="000506F9">
        <w:rPr>
          <w:rFonts w:ascii="Times New Roman" w:hAnsi="Times New Roman" w:cs="Times New Roman"/>
        </w:rPr>
        <w:t xml:space="preserve">The Integrated High Efficiency Scenario yields an increase in 2030 US GDP of $10 billion. The 2030 US </w:t>
      </w:r>
      <w:r w:rsidR="000352BD">
        <w:rPr>
          <w:rFonts w:ascii="Times New Roman" w:hAnsi="Times New Roman" w:cs="Times New Roman"/>
        </w:rPr>
        <w:t xml:space="preserve">GDP for the reference case is </w:t>
      </w:r>
      <w:r w:rsidR="009670EA">
        <w:rPr>
          <w:rFonts w:ascii="Times New Roman" w:hAnsi="Times New Roman" w:cs="Times New Roman"/>
        </w:rPr>
        <w:t>$</w:t>
      </w:r>
      <w:r w:rsidR="000352BD">
        <w:rPr>
          <w:rFonts w:ascii="Times New Roman" w:hAnsi="Times New Roman" w:cs="Times New Roman"/>
        </w:rPr>
        <w:t>2</w:t>
      </w:r>
      <w:r w:rsidRPr="000506F9">
        <w:rPr>
          <w:rFonts w:ascii="Times New Roman" w:hAnsi="Times New Roman" w:cs="Times New Roman"/>
        </w:rPr>
        <w:t xml:space="preserve">.14 trillion, whereas the 2030 US GDP for the Integrated High Efficiency Scenario is </w:t>
      </w:r>
      <w:r w:rsidR="009670EA">
        <w:rPr>
          <w:rFonts w:ascii="Times New Roman" w:hAnsi="Times New Roman" w:cs="Times New Roman"/>
        </w:rPr>
        <w:t>$</w:t>
      </w:r>
      <w:r w:rsidRPr="000506F9">
        <w:rPr>
          <w:rFonts w:ascii="Times New Roman" w:hAnsi="Times New Roman" w:cs="Times New Roman"/>
        </w:rPr>
        <w:t>2.24 trillion</w:t>
      </w:r>
      <w:r w:rsidR="009670EA">
        <w:rPr>
          <w:rFonts w:ascii="Times New Roman" w:hAnsi="Times New Roman" w:cs="Times New Roman"/>
        </w:rPr>
        <w:t>. The 2030 manufacturing sector’s</w:t>
      </w:r>
      <w:r w:rsidRPr="000506F9">
        <w:rPr>
          <w:rFonts w:ascii="Times New Roman" w:hAnsi="Times New Roman" w:cs="Times New Roman"/>
        </w:rPr>
        <w:t xml:space="preserve"> value-of-shipment for energy-intensive industries gains $10 billion, going from $2.17 trillion in the reference case to $2.18 trillion in the Integrated High Efficiency Scenario. The 2030 manufacturing sector value-of-shipment for non-energy-intensive industries increases by $132 billion, going from $4.974 trillion in the reference case to $5.116 trillion in the Integrated High Efficiency Scenario. </w:t>
      </w:r>
    </w:p>
    <w:p w14:paraId="08F18758" w14:textId="675395BF" w:rsidR="00001F2A" w:rsidRPr="00F23E6D" w:rsidRDefault="00001F2A" w:rsidP="009670EA">
      <w:pPr>
        <w:pStyle w:val="TextBody"/>
        <w:spacing w:line="276" w:lineRule="auto"/>
        <w:rPr>
          <w:rFonts w:ascii="Times New Roman" w:hAnsi="Times New Roman" w:cs="Times New Roman"/>
        </w:rPr>
      </w:pPr>
      <w:r>
        <w:rPr>
          <w:rFonts w:ascii="Times New Roman" w:hAnsi="Times New Roman" w:cs="Times New Roman"/>
        </w:rPr>
        <w:t xml:space="preserve">Overall, </w:t>
      </w:r>
      <w:r>
        <w:rPr>
          <w:rFonts w:ascii="Times New Roman" w:hAnsi="Times New Roman" w:cs="Times New Roman" w:hint="eastAsia"/>
        </w:rPr>
        <w:t>t</w:t>
      </w:r>
      <w:r w:rsidRPr="00001F2A">
        <w:rPr>
          <w:rFonts w:ascii="Times New Roman" w:hAnsi="Times New Roman" w:cs="Times New Roman" w:hint="eastAsia"/>
        </w:rPr>
        <w:t>he</w:t>
      </w:r>
      <w:r>
        <w:rPr>
          <w:rFonts w:ascii="Times New Roman" w:hAnsi="Times New Roman" w:cs="Times New Roman"/>
        </w:rPr>
        <w:t xml:space="preserve"> </w:t>
      </w:r>
      <w:r w:rsidR="006E3D13">
        <w:rPr>
          <w:rFonts w:ascii="Times New Roman" w:hAnsi="Times New Roman" w:cs="Times New Roman"/>
        </w:rPr>
        <w:t xml:space="preserve">results suggest that an </w:t>
      </w:r>
      <w:r w:rsidRPr="000506F9">
        <w:rPr>
          <w:rFonts w:ascii="Times New Roman" w:hAnsi="Times New Roman" w:cs="Times New Roman"/>
        </w:rPr>
        <w:t xml:space="preserve">Integrated High Efficiency Scenario </w:t>
      </w:r>
      <w:r w:rsidR="006E3D13">
        <w:rPr>
          <w:rFonts w:ascii="Times New Roman" w:hAnsi="Times New Roman" w:cs="Times New Roman"/>
        </w:rPr>
        <w:t xml:space="preserve">could </w:t>
      </w:r>
      <w:r w:rsidR="006E3D13">
        <w:rPr>
          <w:rFonts w:ascii="Times New Roman" w:hAnsi="Times New Roman" w:cs="Times New Roman" w:hint="eastAsia"/>
        </w:rPr>
        <w:t>provide</w:t>
      </w:r>
      <w:r w:rsidRPr="00001F2A">
        <w:rPr>
          <w:rFonts w:ascii="Times New Roman" w:hAnsi="Times New Roman" w:cs="Times New Roman" w:hint="eastAsia"/>
        </w:rPr>
        <w:t xml:space="preserve"> a low-cost pathway to achieving significant CO</w:t>
      </w:r>
      <w:r w:rsidRPr="00001F2A">
        <w:rPr>
          <w:rFonts w:ascii="Times New Roman" w:hAnsi="Times New Roman" w:cs="Times New Roman" w:hint="eastAsia"/>
          <w:vertAlign w:val="subscript"/>
        </w:rPr>
        <w:t>2</w:t>
      </w:r>
      <w:r>
        <w:rPr>
          <w:rFonts w:ascii="Times New Roman" w:hAnsi="Times New Roman" w:cs="Times New Roman" w:hint="eastAsia"/>
        </w:rPr>
        <w:t xml:space="preserve"> </w:t>
      </w:r>
      <w:r>
        <w:rPr>
          <w:rFonts w:ascii="Times New Roman" w:hAnsi="Times New Roman" w:cs="Times New Roman"/>
        </w:rPr>
        <w:t>emission r</w:t>
      </w:r>
      <w:r w:rsidRPr="00001F2A">
        <w:rPr>
          <w:rFonts w:ascii="Times New Roman" w:hAnsi="Times New Roman" w:cs="Times New Roman" w:hint="eastAsia"/>
        </w:rPr>
        <w:t>eductions.</w:t>
      </w:r>
    </w:p>
    <w:p w14:paraId="084EC88B" w14:textId="2FFC3323" w:rsidR="009670EA" w:rsidRPr="00743409" w:rsidRDefault="009670EA" w:rsidP="009670EA">
      <w:pPr>
        <w:pStyle w:val="Heading1"/>
        <w:spacing w:line="276" w:lineRule="auto"/>
        <w:rPr>
          <w:rFonts w:ascii="Times New Roman" w:hAnsi="Times New Roman" w:cs="Times New Roman"/>
          <w:sz w:val="24"/>
          <w:szCs w:val="24"/>
        </w:rPr>
      </w:pPr>
      <w:r w:rsidRPr="00743409">
        <w:rPr>
          <w:rFonts w:ascii="Times New Roman" w:hAnsi="Times New Roman" w:cs="Times New Roman"/>
          <w:sz w:val="24"/>
          <w:szCs w:val="24"/>
        </w:rPr>
        <w:t>References</w:t>
      </w:r>
    </w:p>
    <w:p w14:paraId="0226F396" w14:textId="2BA3D86E" w:rsidR="009670EA" w:rsidRPr="00743409" w:rsidRDefault="009670EA" w:rsidP="009670EA">
      <w:pPr>
        <w:widowControl/>
        <w:suppressAutoHyphens w:val="0"/>
        <w:spacing w:line="276" w:lineRule="auto"/>
        <w:rPr>
          <w:rFonts w:ascii="Times New Roman" w:hAnsi="Times New Roman" w:cs="Times New Roman"/>
        </w:rPr>
      </w:pPr>
      <w:r w:rsidRPr="00743409">
        <w:rPr>
          <w:rFonts w:ascii="Times New Roman" w:hAnsi="Times New Roman" w:cs="Times New Roman"/>
        </w:rPr>
        <w:t>Brown, Marilyn A, Matt Cox, and Rodrigo</w:t>
      </w:r>
      <w:r w:rsidR="00D12A8D">
        <w:rPr>
          <w:rFonts w:ascii="Times New Roman" w:hAnsi="Times New Roman" w:cs="Times New Roman"/>
        </w:rPr>
        <w:t xml:space="preserve"> Cortes</w:t>
      </w:r>
      <w:r w:rsidRPr="00743409">
        <w:rPr>
          <w:rFonts w:ascii="Times New Roman" w:hAnsi="Times New Roman" w:cs="Times New Roman"/>
        </w:rPr>
        <w:t xml:space="preserve">. 2010. “Transforming Industrial Energy Efficiency,” </w:t>
      </w:r>
      <w:r w:rsidRPr="00743409">
        <w:rPr>
          <w:rFonts w:ascii="Times New Roman" w:hAnsi="Times New Roman" w:cs="Times New Roman"/>
          <w:i/>
        </w:rPr>
        <w:t xml:space="preserve">The Bridge </w:t>
      </w:r>
      <w:r w:rsidRPr="00743409">
        <w:rPr>
          <w:rFonts w:ascii="Times New Roman" w:hAnsi="Times New Roman" w:cs="Times New Roman"/>
        </w:rPr>
        <w:t xml:space="preserve">(Washington, DC: National Academy of Engineering), </w:t>
      </w:r>
      <w:proofErr w:type="gramStart"/>
      <w:r w:rsidRPr="00743409">
        <w:rPr>
          <w:rFonts w:ascii="Times New Roman" w:hAnsi="Times New Roman" w:cs="Times New Roman"/>
        </w:rPr>
        <w:t>Fall</w:t>
      </w:r>
      <w:proofErr w:type="gramEnd"/>
      <w:r w:rsidRPr="00743409">
        <w:rPr>
          <w:rFonts w:ascii="Times New Roman" w:hAnsi="Times New Roman" w:cs="Times New Roman"/>
        </w:rPr>
        <w:t>, pp. 22-30.</w:t>
      </w:r>
    </w:p>
    <w:p w14:paraId="2B5B824F" w14:textId="77777777" w:rsidR="009670EA" w:rsidRPr="00743409" w:rsidRDefault="009670EA" w:rsidP="009670EA">
      <w:pPr>
        <w:spacing w:line="276" w:lineRule="auto"/>
        <w:rPr>
          <w:rFonts w:ascii="Times New Roman" w:hAnsi="Times New Roman" w:cs="Times New Roman"/>
          <w:lang w:bidi="ar-SA"/>
        </w:rPr>
      </w:pPr>
    </w:p>
    <w:p w14:paraId="4DFCF24C" w14:textId="77777777" w:rsidR="009670EA" w:rsidRPr="00743409" w:rsidRDefault="009670EA" w:rsidP="009670EA">
      <w:pPr>
        <w:spacing w:line="276" w:lineRule="auto"/>
        <w:rPr>
          <w:rFonts w:ascii="Times New Roman" w:hAnsi="Times New Roman" w:cs="Times New Roman"/>
          <w:lang w:bidi="ar-SA"/>
        </w:rPr>
      </w:pPr>
      <w:r w:rsidRPr="00743409">
        <w:rPr>
          <w:rFonts w:ascii="Times New Roman" w:hAnsi="Times New Roman" w:cs="Times New Roman"/>
          <w:lang w:bidi="ar-SA"/>
        </w:rPr>
        <w:t>Navigant Consulting, Inc. with SAIC, High Demand Technology assumptions for the buildings sector are based on U.S. Energy Information Administration, EIA—Technology Forecast Updates—Residential and Commercial Building Technologies—Advanced Case  (2011).</w:t>
      </w:r>
    </w:p>
    <w:p w14:paraId="7BE83622" w14:textId="77777777" w:rsidR="009670EA" w:rsidRPr="00743409" w:rsidRDefault="009670EA" w:rsidP="009670EA">
      <w:pPr>
        <w:spacing w:line="276" w:lineRule="auto"/>
        <w:rPr>
          <w:rFonts w:ascii="Times New Roman" w:hAnsi="Times New Roman" w:cs="Times New Roman"/>
          <w:lang w:bidi="ar-SA"/>
        </w:rPr>
      </w:pPr>
    </w:p>
    <w:p w14:paraId="16719F1B" w14:textId="77777777" w:rsidR="009670EA" w:rsidRPr="00743409" w:rsidRDefault="009670EA" w:rsidP="009670EA">
      <w:pPr>
        <w:spacing w:line="276" w:lineRule="auto"/>
        <w:rPr>
          <w:rFonts w:ascii="Times New Roman" w:hAnsi="Times New Roman" w:cs="Times New Roman"/>
          <w:lang w:bidi="ar-SA"/>
        </w:rPr>
      </w:pPr>
      <w:r w:rsidRPr="00743409">
        <w:rPr>
          <w:rFonts w:ascii="Times New Roman" w:hAnsi="Times New Roman" w:cs="Times New Roman"/>
          <w:lang w:bidi="ar-SA"/>
        </w:rPr>
        <w:t>Navigant Consulting, Inc. with SAIC, EIA—Technology Forecast Updates—Residential and Commercial Building Technologies—Advanced Case (2012).</w:t>
      </w:r>
    </w:p>
    <w:p w14:paraId="1FF17FE4" w14:textId="77777777" w:rsidR="009670EA" w:rsidRPr="00F23E6D" w:rsidRDefault="009670EA" w:rsidP="009670EA">
      <w:pPr>
        <w:spacing w:line="276" w:lineRule="auto"/>
        <w:rPr>
          <w:rFonts w:ascii="Times New Roman" w:hAnsi="Times New Roman" w:cs="Times New Roman"/>
          <w:lang w:bidi="ar-SA"/>
        </w:rPr>
      </w:pPr>
    </w:p>
    <w:p w14:paraId="0EC40055" w14:textId="77777777" w:rsidR="009670EA" w:rsidRPr="00F23E6D" w:rsidRDefault="009670EA" w:rsidP="009670EA">
      <w:pPr>
        <w:spacing w:line="276" w:lineRule="auto"/>
        <w:rPr>
          <w:rFonts w:ascii="Times New Roman" w:hAnsi="Times New Roman" w:cs="Times New Roman"/>
          <w:lang w:bidi="ar-SA"/>
        </w:rPr>
      </w:pPr>
      <w:r w:rsidRPr="00F23E6D">
        <w:rPr>
          <w:rFonts w:ascii="Times New Roman" w:hAnsi="Times New Roman" w:cs="Times New Roman"/>
          <w:lang w:bidi="ar-SA"/>
        </w:rPr>
        <w:t>FOCIS Associates, Industrial Technology and Data Analysis Supporting the NEMS Industrial Model  (2005).</w:t>
      </w:r>
    </w:p>
    <w:p w14:paraId="2161F01E" w14:textId="1260089A" w:rsidR="00241E98" w:rsidRPr="00F23E6D" w:rsidRDefault="00241E98" w:rsidP="00A72615">
      <w:pPr>
        <w:pStyle w:val="Heading1"/>
        <w:spacing w:line="276" w:lineRule="auto"/>
        <w:rPr>
          <w:rFonts w:ascii="Times New Roman" w:hAnsi="Times New Roman" w:cs="Times New Roman"/>
          <w:sz w:val="24"/>
          <w:szCs w:val="24"/>
        </w:rPr>
      </w:pPr>
      <w:r>
        <w:rPr>
          <w:rFonts w:ascii="Times New Roman" w:hAnsi="Times New Roman" w:cs="Times New Roman"/>
          <w:sz w:val="24"/>
          <w:szCs w:val="24"/>
        </w:rPr>
        <w:t>Acknowledgments</w:t>
      </w:r>
    </w:p>
    <w:p w14:paraId="6EA9471A" w14:textId="476014EA" w:rsidR="00E00849" w:rsidRPr="00151667" w:rsidRDefault="00241E98" w:rsidP="00A72615">
      <w:pPr>
        <w:pStyle w:val="TextBody"/>
        <w:spacing w:line="276" w:lineRule="auto"/>
        <w:rPr>
          <w:rFonts w:ascii="Times New Roman" w:hAnsi="Times New Roman" w:cs="Times New Roman"/>
        </w:rPr>
      </w:pPr>
      <w:r w:rsidRPr="00151667">
        <w:rPr>
          <w:rFonts w:ascii="Times New Roman" w:hAnsi="Times New Roman" w:cs="Times New Roman"/>
        </w:rPr>
        <w:t xml:space="preserve">The Georgia Tech team wishes to thank </w:t>
      </w:r>
      <w:proofErr w:type="spellStart"/>
      <w:r w:rsidRPr="00151667">
        <w:rPr>
          <w:rFonts w:ascii="Times New Roman" w:hAnsi="Times New Roman" w:cs="Times New Roman"/>
        </w:rPr>
        <w:t>Etan</w:t>
      </w:r>
      <w:proofErr w:type="spellEnd"/>
      <w:r w:rsidRPr="00151667">
        <w:rPr>
          <w:rFonts w:ascii="Times New Roman" w:hAnsi="Times New Roman" w:cs="Times New Roman"/>
        </w:rPr>
        <w:t xml:space="preserve"> </w:t>
      </w:r>
      <w:proofErr w:type="spellStart"/>
      <w:r w:rsidRPr="00151667">
        <w:rPr>
          <w:rFonts w:ascii="Times New Roman" w:hAnsi="Times New Roman" w:cs="Times New Roman"/>
        </w:rPr>
        <w:t>Gumerman</w:t>
      </w:r>
      <w:proofErr w:type="spellEnd"/>
      <w:r w:rsidRPr="00151667">
        <w:rPr>
          <w:rFonts w:ascii="Times New Roman" w:hAnsi="Times New Roman" w:cs="Times New Roman"/>
        </w:rPr>
        <w:t xml:space="preserve"> (Duke University), and Karl </w:t>
      </w:r>
      <w:proofErr w:type="spellStart"/>
      <w:r w:rsidRPr="00151667">
        <w:rPr>
          <w:rFonts w:ascii="Times New Roman" w:hAnsi="Times New Roman" w:cs="Times New Roman"/>
        </w:rPr>
        <w:t>Hausker</w:t>
      </w:r>
      <w:proofErr w:type="spellEnd"/>
      <w:r w:rsidRPr="00151667">
        <w:rPr>
          <w:rFonts w:ascii="Times New Roman" w:hAnsi="Times New Roman" w:cs="Times New Roman"/>
        </w:rPr>
        <w:t xml:space="preserve">, </w:t>
      </w:r>
      <w:r w:rsidRPr="00151667">
        <w:rPr>
          <w:rFonts w:ascii="Times New Roman" w:hAnsi="Times New Roman" w:cs="Times New Roman"/>
          <w:lang w:bidi="ar-SA"/>
        </w:rPr>
        <w:t xml:space="preserve">Rebecca Gasper, </w:t>
      </w:r>
      <w:r w:rsidR="006A4C7B" w:rsidRPr="00151667">
        <w:rPr>
          <w:rFonts w:ascii="Times New Roman" w:hAnsi="Times New Roman" w:cs="Times New Roman"/>
          <w:lang w:bidi="ar-SA"/>
        </w:rPr>
        <w:t xml:space="preserve">Kristin Meek, </w:t>
      </w:r>
      <w:r w:rsidRPr="00151667">
        <w:rPr>
          <w:rFonts w:ascii="Times New Roman" w:hAnsi="Times New Roman" w:cs="Times New Roman"/>
          <w:lang w:bidi="ar-SA"/>
        </w:rPr>
        <w:t xml:space="preserve">and Nate Aden (World Resources Institute) </w:t>
      </w:r>
      <w:r w:rsidRPr="00151667">
        <w:rPr>
          <w:rFonts w:ascii="Times New Roman" w:hAnsi="Times New Roman" w:cs="Times New Roman"/>
        </w:rPr>
        <w:t xml:space="preserve">for supporting this work financially and also intellectually by sharing the substantial knowledge about energy systems modeling and policies with us. In addition, we are grateful to the Energy Information </w:t>
      </w:r>
      <w:r w:rsidR="006A4C7B" w:rsidRPr="00151667">
        <w:rPr>
          <w:rFonts w:ascii="Times New Roman" w:hAnsi="Times New Roman" w:cs="Times New Roman"/>
        </w:rPr>
        <w:t xml:space="preserve">Administration’s team leaders and analysts who spent time consulting with the Duke-Georgia Tech team on options for </w:t>
      </w:r>
      <w:proofErr w:type="spellStart"/>
      <w:r w:rsidR="006A4C7B" w:rsidRPr="00151667">
        <w:rPr>
          <w:rFonts w:ascii="Times New Roman" w:hAnsi="Times New Roman" w:cs="Times New Roman"/>
        </w:rPr>
        <w:t>modling</w:t>
      </w:r>
      <w:proofErr w:type="spellEnd"/>
      <w:r w:rsidR="006A4C7B" w:rsidRPr="00151667">
        <w:rPr>
          <w:rFonts w:ascii="Times New Roman" w:hAnsi="Times New Roman" w:cs="Times New Roman"/>
        </w:rPr>
        <w:t xml:space="preserve"> a low-carbon future in NEMS, including: Dan Skelly, Paul </w:t>
      </w:r>
      <w:proofErr w:type="spellStart"/>
      <w:r w:rsidR="006A4C7B" w:rsidRPr="00151667">
        <w:rPr>
          <w:rFonts w:ascii="Times New Roman" w:hAnsi="Times New Roman" w:cs="Times New Roman"/>
        </w:rPr>
        <w:t>Kondis</w:t>
      </w:r>
      <w:proofErr w:type="spellEnd"/>
      <w:r w:rsidR="006A4C7B" w:rsidRPr="00151667">
        <w:rPr>
          <w:rFonts w:ascii="Times New Roman" w:hAnsi="Times New Roman" w:cs="Times New Roman"/>
        </w:rPr>
        <w:t xml:space="preserve">, Elizabeth </w:t>
      </w:r>
      <w:proofErr w:type="spellStart"/>
      <w:r w:rsidR="006A4C7B" w:rsidRPr="00151667">
        <w:rPr>
          <w:rFonts w:ascii="Times New Roman" w:hAnsi="Times New Roman" w:cs="Times New Roman"/>
        </w:rPr>
        <w:t>Sendich</w:t>
      </w:r>
      <w:proofErr w:type="spellEnd"/>
      <w:r w:rsidR="006A4C7B" w:rsidRPr="00151667">
        <w:rPr>
          <w:rFonts w:ascii="Times New Roman" w:hAnsi="Times New Roman" w:cs="Times New Roman"/>
        </w:rPr>
        <w:t xml:space="preserve">, Erin </w:t>
      </w:r>
      <w:proofErr w:type="spellStart"/>
      <w:r w:rsidR="006A4C7B" w:rsidRPr="00151667">
        <w:rPr>
          <w:rFonts w:ascii="Times New Roman" w:hAnsi="Times New Roman" w:cs="Times New Roman"/>
        </w:rPr>
        <w:t>Boedecker</w:t>
      </w:r>
      <w:proofErr w:type="spellEnd"/>
      <w:r w:rsidR="006A4C7B" w:rsidRPr="00151667">
        <w:rPr>
          <w:rFonts w:ascii="Times New Roman" w:hAnsi="Times New Roman" w:cs="Times New Roman"/>
        </w:rPr>
        <w:t xml:space="preserve">, Kay Smith, Russ Tarver, Kelly Perl, Chris </w:t>
      </w:r>
      <w:proofErr w:type="spellStart"/>
      <w:r w:rsidR="006A4C7B" w:rsidRPr="00151667">
        <w:rPr>
          <w:rFonts w:ascii="Times New Roman" w:hAnsi="Times New Roman" w:cs="Times New Roman"/>
        </w:rPr>
        <w:t>Namovicz</w:t>
      </w:r>
      <w:proofErr w:type="spellEnd"/>
      <w:r w:rsidR="006A4C7B" w:rsidRPr="00151667">
        <w:rPr>
          <w:rFonts w:ascii="Times New Roman" w:hAnsi="Times New Roman" w:cs="Times New Roman"/>
        </w:rPr>
        <w:t xml:space="preserve">, </w:t>
      </w:r>
      <w:proofErr w:type="gramStart"/>
      <w:r w:rsidR="006A4C7B" w:rsidRPr="00151667">
        <w:rPr>
          <w:rFonts w:ascii="Times New Roman" w:hAnsi="Times New Roman" w:cs="Times New Roman"/>
        </w:rPr>
        <w:t>and  Eric</w:t>
      </w:r>
      <w:proofErr w:type="gramEnd"/>
      <w:r w:rsidR="006A4C7B" w:rsidRPr="00151667">
        <w:rPr>
          <w:rFonts w:ascii="Times New Roman" w:hAnsi="Times New Roman" w:cs="Times New Roman"/>
        </w:rPr>
        <w:t xml:space="preserve"> Krall.</w:t>
      </w:r>
      <w:r w:rsidRPr="00151667">
        <w:rPr>
          <w:rFonts w:ascii="Times New Roman" w:hAnsi="Times New Roman" w:cs="Times New Roman"/>
        </w:rPr>
        <w:t xml:space="preserve"> </w:t>
      </w:r>
      <w:r w:rsidR="006A4C7B" w:rsidRPr="00151667">
        <w:rPr>
          <w:rFonts w:ascii="Times New Roman" w:hAnsi="Times New Roman" w:cs="Times New Roman"/>
        </w:rPr>
        <w:t>Nevertheless, the authors take full responsibility for any errors in this manuscript.</w:t>
      </w:r>
    </w:p>
    <w:p w14:paraId="00E4AD9D" w14:textId="77777777" w:rsidR="00A72615" w:rsidRDefault="00A72615" w:rsidP="00A72615">
      <w:pPr>
        <w:pStyle w:val="TextBody"/>
        <w:spacing w:line="276" w:lineRule="auto"/>
        <w:rPr>
          <w:rFonts w:ascii="Times New Roman" w:hAnsi="Times New Roman" w:cs="Times New Roman"/>
        </w:rPr>
      </w:pPr>
    </w:p>
    <w:p w14:paraId="7A612BEE" w14:textId="521814D9" w:rsidR="0089538B" w:rsidRPr="00A72615" w:rsidRDefault="0089538B" w:rsidP="00A72615">
      <w:pPr>
        <w:pStyle w:val="TextBody"/>
        <w:spacing w:line="276" w:lineRule="auto"/>
        <w:rPr>
          <w:rFonts w:ascii="Times New Roman" w:hAnsi="Times New Roman" w:cs="Times New Roman"/>
        </w:rPr>
      </w:pPr>
      <w:r w:rsidRPr="00F23E6D">
        <w:rPr>
          <w:rFonts w:ascii="Times New Roman" w:hAnsi="Times New Roman" w:cs="Times New Roman"/>
          <w:b/>
        </w:rPr>
        <w:t>Methodological Appendices</w:t>
      </w:r>
      <w:r w:rsidR="00F23E6D" w:rsidRPr="00F23E6D">
        <w:rPr>
          <w:rFonts w:ascii="Times New Roman" w:hAnsi="Times New Roman" w:cs="Times New Roman"/>
          <w:b/>
        </w:rPr>
        <w:t xml:space="preserve"> and Documentation</w:t>
      </w:r>
      <w:r w:rsidRPr="00F23E6D">
        <w:rPr>
          <w:rFonts w:ascii="Times New Roman" w:hAnsi="Times New Roman" w:cs="Times New Roman"/>
          <w:b/>
        </w:rPr>
        <w:t>:</w:t>
      </w:r>
    </w:p>
    <w:p w14:paraId="0FFB1BA7" w14:textId="77777777" w:rsidR="00C72D8F" w:rsidRPr="00F23E6D" w:rsidRDefault="00C72D8F" w:rsidP="00A72615">
      <w:pPr>
        <w:pStyle w:val="TextBody"/>
        <w:spacing w:line="276" w:lineRule="auto"/>
        <w:rPr>
          <w:rFonts w:ascii="Times New Roman" w:hAnsi="Times New Roman" w:cs="Times New Roman"/>
        </w:rPr>
      </w:pPr>
      <w:r w:rsidRPr="00F23E6D">
        <w:rPr>
          <w:rFonts w:ascii="Times New Roman" w:hAnsi="Times New Roman" w:cs="Times New Roman"/>
        </w:rPr>
        <w:t>Files and other backup information on this project can be found on the Georgia Tech T-square site under NEMS User Group: Duke-WRI project.</w:t>
      </w:r>
    </w:p>
    <w:p w14:paraId="71AEE551" w14:textId="77777777" w:rsidR="00F23E6D" w:rsidRDefault="00F23E6D" w:rsidP="00A72615">
      <w:pPr>
        <w:spacing w:line="276" w:lineRule="auto"/>
        <w:rPr>
          <w:rFonts w:ascii="Times New Roman" w:hAnsi="Times New Roman" w:cs="Times New Roman"/>
          <w:lang w:bidi="ar-SA"/>
        </w:rPr>
      </w:pPr>
      <w:r>
        <w:rPr>
          <w:rFonts w:ascii="Times New Roman" w:hAnsi="Times New Roman" w:cs="Times New Roman"/>
          <w:lang w:bidi="ar-SA"/>
        </w:rPr>
        <w:t xml:space="preserve">The </w:t>
      </w:r>
      <w:r w:rsidRPr="00F23E6D">
        <w:rPr>
          <w:rFonts w:ascii="Times New Roman" w:hAnsi="Times New Roman" w:cs="Times New Roman"/>
          <w:lang w:bidi="ar-SA"/>
        </w:rPr>
        <w:t xml:space="preserve">README </w:t>
      </w:r>
      <w:r>
        <w:rPr>
          <w:rFonts w:ascii="Times New Roman" w:hAnsi="Times New Roman" w:cs="Times New Roman"/>
          <w:lang w:bidi="ar-SA"/>
        </w:rPr>
        <w:t xml:space="preserve">file prepared by Jeff </w:t>
      </w:r>
      <w:proofErr w:type="spellStart"/>
      <w:r>
        <w:rPr>
          <w:rFonts w:ascii="Times New Roman" w:hAnsi="Times New Roman" w:cs="Times New Roman"/>
          <w:lang w:bidi="ar-SA"/>
        </w:rPr>
        <w:t>Hubbs</w:t>
      </w:r>
      <w:proofErr w:type="spellEnd"/>
      <w:r>
        <w:rPr>
          <w:rFonts w:ascii="Times New Roman" w:hAnsi="Times New Roman" w:cs="Times New Roman"/>
          <w:lang w:bidi="ar-SA"/>
        </w:rPr>
        <w:t xml:space="preserve"> is </w:t>
      </w:r>
      <w:r w:rsidRPr="00F23E6D">
        <w:rPr>
          <w:rFonts w:ascii="Times New Roman" w:hAnsi="Times New Roman" w:cs="Times New Roman"/>
          <w:lang w:bidi="ar-SA"/>
        </w:rPr>
        <w:t>in</w:t>
      </w:r>
      <w:r>
        <w:rPr>
          <w:rFonts w:ascii="Times New Roman" w:hAnsi="Times New Roman" w:cs="Times New Roman"/>
          <w:lang w:bidi="ar-SA"/>
        </w:rPr>
        <w:t>:</w:t>
      </w:r>
    </w:p>
    <w:p w14:paraId="6ADB763C" w14:textId="77777777" w:rsidR="00F23E6D" w:rsidRDefault="00F23E6D" w:rsidP="00A72615">
      <w:pPr>
        <w:spacing w:line="276" w:lineRule="auto"/>
        <w:rPr>
          <w:rFonts w:ascii="Times New Roman" w:hAnsi="Times New Roman" w:cs="Times New Roman"/>
          <w:lang w:bidi="ar-SA"/>
        </w:rPr>
      </w:pPr>
    </w:p>
    <w:p w14:paraId="55FACA1C" w14:textId="5DA054A0"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 xml:space="preserve"> /cygdrive/l/result_library/special_cases/wri_duke_combined_scenarios/input/ alongside the </w:t>
      </w:r>
      <w:proofErr w:type="spellStart"/>
      <w:r w:rsidRPr="00F23E6D">
        <w:rPr>
          <w:rFonts w:ascii="Times New Roman" w:hAnsi="Times New Roman" w:cs="Times New Roman"/>
          <w:lang w:bidi="ar-SA"/>
        </w:rPr>
        <w:t>scedes</w:t>
      </w:r>
      <w:proofErr w:type="spellEnd"/>
      <w:r w:rsidRPr="00F23E6D">
        <w:rPr>
          <w:rFonts w:ascii="Times New Roman" w:hAnsi="Times New Roman" w:cs="Times New Roman"/>
          <w:lang w:bidi="ar-SA"/>
        </w:rPr>
        <w:t xml:space="preserve"> file that was used to run it. The lines appearing after the "&lt;" symbol belong to the first file listed in the diff arguments (in this case, the ref2014 </w:t>
      </w:r>
      <w:proofErr w:type="spellStart"/>
      <w:r w:rsidRPr="00F23E6D">
        <w:rPr>
          <w:rFonts w:ascii="Times New Roman" w:hAnsi="Times New Roman" w:cs="Times New Roman"/>
          <w:lang w:bidi="ar-SA"/>
        </w:rPr>
        <w:t>scedes</w:t>
      </w:r>
      <w:proofErr w:type="spellEnd"/>
      <w:r w:rsidRPr="00F23E6D">
        <w:rPr>
          <w:rFonts w:ascii="Times New Roman" w:hAnsi="Times New Roman" w:cs="Times New Roman"/>
          <w:lang w:bidi="ar-SA"/>
        </w:rPr>
        <w:t xml:space="preserve"> file) and the appearing after the "&gt;" symbol belong to the second file listed in the diff arguments. So where you see</w:t>
      </w:r>
    </w:p>
    <w:p w14:paraId="11287488" w14:textId="77777777" w:rsidR="00F23E6D" w:rsidRPr="00F23E6D" w:rsidRDefault="00F23E6D" w:rsidP="00A72615">
      <w:pPr>
        <w:spacing w:line="276" w:lineRule="auto"/>
        <w:rPr>
          <w:rFonts w:ascii="Times New Roman" w:hAnsi="Times New Roman" w:cs="Times New Roman"/>
          <w:lang w:bidi="ar-SA"/>
        </w:rPr>
      </w:pPr>
    </w:p>
    <w:p w14:paraId="580B4F82"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607c607</w:t>
      </w:r>
    </w:p>
    <w:p w14:paraId="44F620B8"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RSMELSN=$NEMS/input/rsmels.v1.14.txt</w:t>
      </w:r>
    </w:p>
    <w:p w14:paraId="3151FB4D"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31228540"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RSMELSN=/</w:t>
      </w:r>
      <w:proofErr w:type="spellStart"/>
      <w:r w:rsidRPr="00F23E6D">
        <w:rPr>
          <w:rFonts w:ascii="Times New Roman" w:hAnsi="Times New Roman" w:cs="Times New Roman"/>
          <w:lang w:bidi="ar-SA"/>
        </w:rPr>
        <w:t>cygdrive</w:t>
      </w:r>
      <w:proofErr w:type="spellEnd"/>
      <w:r w:rsidRPr="00F23E6D">
        <w:rPr>
          <w:rFonts w:ascii="Times New Roman" w:hAnsi="Times New Roman" w:cs="Times New Roman"/>
          <w:lang w:bidi="ar-SA"/>
        </w:rPr>
        <w:t>/m/</w:t>
      </w:r>
      <w:proofErr w:type="spellStart"/>
      <w:r w:rsidRPr="00F23E6D">
        <w:rPr>
          <w:rFonts w:ascii="Times New Roman" w:hAnsi="Times New Roman" w:cs="Times New Roman"/>
          <w:lang w:bidi="ar-SA"/>
        </w:rPr>
        <w:t>nemshome</w:t>
      </w:r>
      <w:proofErr w:type="spellEnd"/>
      <w:r w:rsidRPr="00F23E6D">
        <w:rPr>
          <w:rFonts w:ascii="Times New Roman" w:hAnsi="Times New Roman" w:cs="Times New Roman"/>
          <w:lang w:bidi="ar-SA"/>
        </w:rPr>
        <w:t>/yw3/WRI/rsmels-as.txt</w:t>
      </w:r>
    </w:p>
    <w:p w14:paraId="145EBEA5" w14:textId="77777777" w:rsidR="00F23E6D" w:rsidRPr="00F23E6D" w:rsidRDefault="00F23E6D" w:rsidP="00A72615">
      <w:pPr>
        <w:spacing w:line="276" w:lineRule="auto"/>
        <w:rPr>
          <w:rFonts w:ascii="Times New Roman" w:hAnsi="Times New Roman" w:cs="Times New Roman"/>
          <w:lang w:bidi="ar-SA"/>
        </w:rPr>
      </w:pPr>
    </w:p>
    <w:p w14:paraId="11C483FB" w14:textId="77777777" w:rsidR="00F23E6D" w:rsidRPr="00F23E6D" w:rsidRDefault="00F23E6D" w:rsidP="00A72615">
      <w:pPr>
        <w:spacing w:line="276" w:lineRule="auto"/>
        <w:rPr>
          <w:rFonts w:ascii="Times New Roman" w:hAnsi="Times New Roman" w:cs="Times New Roman"/>
          <w:b/>
          <w:bCs/>
          <w:lang w:bidi="ar-SA"/>
        </w:rPr>
      </w:pPr>
      <w:proofErr w:type="gramStart"/>
      <w:r w:rsidRPr="00F23E6D">
        <w:rPr>
          <w:rFonts w:ascii="Times New Roman" w:hAnsi="Times New Roman" w:cs="Times New Roman"/>
          <w:lang w:bidi="ar-SA"/>
        </w:rPr>
        <w:t>that</w:t>
      </w:r>
      <w:proofErr w:type="gramEnd"/>
      <w:r w:rsidRPr="00F23E6D">
        <w:rPr>
          <w:rFonts w:ascii="Times New Roman" w:hAnsi="Times New Roman" w:cs="Times New Roman"/>
          <w:lang w:bidi="ar-SA"/>
        </w:rPr>
        <w:t xml:space="preserve"> means that in line 607, the RSMELSN identifier refers to the stock rsmels.v1.14.txt in the ref2014 </w:t>
      </w:r>
      <w:proofErr w:type="spellStart"/>
      <w:r w:rsidRPr="00F23E6D">
        <w:rPr>
          <w:rFonts w:ascii="Times New Roman" w:hAnsi="Times New Roman" w:cs="Times New Roman"/>
          <w:lang w:bidi="ar-SA"/>
        </w:rPr>
        <w:t>scedes</w:t>
      </w:r>
      <w:proofErr w:type="spellEnd"/>
      <w:r w:rsidRPr="00F23E6D">
        <w:rPr>
          <w:rFonts w:ascii="Times New Roman" w:hAnsi="Times New Roman" w:cs="Times New Roman"/>
          <w:lang w:bidi="ar-SA"/>
        </w:rPr>
        <w:t xml:space="preserve"> file and to Yu's rsmels-as.txt in her scedes.all.wri.as+bc.txt file. But as the README explains, the two sets of differences were then applied to the stock </w:t>
      </w:r>
      <w:proofErr w:type="spellStart"/>
      <w:r w:rsidRPr="00F23E6D">
        <w:rPr>
          <w:rFonts w:ascii="Times New Roman" w:hAnsi="Times New Roman" w:cs="Times New Roman"/>
          <w:lang w:bidi="ar-SA"/>
        </w:rPr>
        <w:t>hightech</w:t>
      </w:r>
      <w:proofErr w:type="spellEnd"/>
      <w:r w:rsidRPr="00F23E6D">
        <w:rPr>
          <w:rFonts w:ascii="Times New Roman" w:hAnsi="Times New Roman" w:cs="Times New Roman"/>
          <w:lang w:bidi="ar-SA"/>
        </w:rPr>
        <w:t xml:space="preserve"> </w:t>
      </w:r>
      <w:proofErr w:type="spellStart"/>
      <w:r w:rsidRPr="00F23E6D">
        <w:rPr>
          <w:rFonts w:ascii="Times New Roman" w:hAnsi="Times New Roman" w:cs="Times New Roman"/>
          <w:lang w:bidi="ar-SA"/>
        </w:rPr>
        <w:t>scedes</w:t>
      </w:r>
      <w:proofErr w:type="spellEnd"/>
      <w:r w:rsidRPr="00F23E6D">
        <w:rPr>
          <w:rFonts w:ascii="Times New Roman" w:hAnsi="Times New Roman" w:cs="Times New Roman"/>
          <w:lang w:bidi="ar-SA"/>
        </w:rPr>
        <w:t xml:space="preserve"> file, when was then further altered to grab the stock "high tech" </w:t>
      </w:r>
      <w:proofErr w:type="spellStart"/>
      <w:r w:rsidRPr="00F23E6D">
        <w:rPr>
          <w:rFonts w:ascii="Times New Roman" w:hAnsi="Times New Roman" w:cs="Times New Roman"/>
          <w:lang w:bidi="ar-SA"/>
        </w:rPr>
        <w:t>ktek</w:t>
      </w:r>
      <w:proofErr w:type="spellEnd"/>
      <w:r w:rsidRPr="00F23E6D">
        <w:rPr>
          <w:rFonts w:ascii="Times New Roman" w:hAnsi="Times New Roman" w:cs="Times New Roman"/>
          <w:lang w:bidi="ar-SA"/>
        </w:rPr>
        <w:t xml:space="preserve"> file.</w:t>
      </w:r>
    </w:p>
    <w:p w14:paraId="3B07E4F6"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Below are two sets of diff output between scedes.all.ref2014.d102413a vs. scedes.all.wri.as+bc.txt and</w:t>
      </w:r>
    </w:p>
    <w:p w14:paraId="38E794B9"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 xml:space="preserve">scedes.all.ref2014.d102413a vs. scedes.indhech.d111111x.txt. Both of the above scedes*.txt files used scedes.all.ref2014.d102413a as their starting point and both sets of diff results were applied to </w:t>
      </w:r>
      <w:r w:rsidRPr="00F23E6D">
        <w:rPr>
          <w:rFonts w:ascii="Times New Roman" w:hAnsi="Times New Roman" w:cs="Times New Roman"/>
          <w:lang w:bidi="ar-SA"/>
        </w:rPr>
        <w:lastRenderedPageBreak/>
        <w:t xml:space="preserve">scedes.all.hightech.d121813a to produce the </w:t>
      </w:r>
      <w:proofErr w:type="spellStart"/>
      <w:r w:rsidRPr="00F23E6D">
        <w:rPr>
          <w:rFonts w:ascii="Times New Roman" w:hAnsi="Times New Roman" w:cs="Times New Roman"/>
          <w:lang w:bidi="ar-SA"/>
        </w:rPr>
        <w:t>scedes</w:t>
      </w:r>
      <w:proofErr w:type="spellEnd"/>
      <w:r w:rsidRPr="00F23E6D">
        <w:rPr>
          <w:rFonts w:ascii="Times New Roman" w:hAnsi="Times New Roman" w:cs="Times New Roman"/>
          <w:lang w:bidi="ar-SA"/>
        </w:rPr>
        <w:t xml:space="preserve"> file used for this "all-up" run for Duke/WRI.  Also, the </w:t>
      </w:r>
      <w:proofErr w:type="spellStart"/>
      <w:r w:rsidRPr="00F23E6D">
        <w:rPr>
          <w:rFonts w:ascii="Times New Roman" w:hAnsi="Times New Roman" w:cs="Times New Roman"/>
          <w:lang w:bidi="ar-SA"/>
        </w:rPr>
        <w:t>scedes</w:t>
      </w:r>
      <w:proofErr w:type="spellEnd"/>
      <w:r w:rsidRPr="00F23E6D">
        <w:rPr>
          <w:rFonts w:ascii="Times New Roman" w:hAnsi="Times New Roman" w:cs="Times New Roman"/>
          <w:lang w:bidi="ar-SA"/>
        </w:rPr>
        <w:t xml:space="preserve"> file's KTEKN variable was changed to point to $NEMS/mid/</w:t>
      </w:r>
      <w:proofErr w:type="spellStart"/>
      <w:r w:rsidRPr="00F23E6D">
        <w:rPr>
          <w:rFonts w:ascii="Times New Roman" w:hAnsi="Times New Roman" w:cs="Times New Roman"/>
          <w:lang w:bidi="ar-SA"/>
        </w:rPr>
        <w:t>kja</w:t>
      </w:r>
      <w:proofErr w:type="spellEnd"/>
      <w:r w:rsidRPr="00F23E6D">
        <w:rPr>
          <w:rFonts w:ascii="Times New Roman" w:hAnsi="Times New Roman" w:cs="Times New Roman"/>
          <w:lang w:bidi="ar-SA"/>
        </w:rPr>
        <w:t>/aeo2014/</w:t>
      </w:r>
      <w:proofErr w:type="spellStart"/>
      <w:r w:rsidRPr="00F23E6D">
        <w:rPr>
          <w:rFonts w:ascii="Times New Roman" w:hAnsi="Times New Roman" w:cs="Times New Roman"/>
          <w:lang w:bidi="ar-SA"/>
        </w:rPr>
        <w:t>ktek</w:t>
      </w:r>
      <w:proofErr w:type="spellEnd"/>
      <w:r w:rsidRPr="00F23E6D">
        <w:rPr>
          <w:rFonts w:ascii="Times New Roman" w:hAnsi="Times New Roman" w:cs="Times New Roman"/>
          <w:lang w:bidi="ar-SA"/>
        </w:rPr>
        <w:t>/ktek_high2014.xml.</w:t>
      </w:r>
    </w:p>
    <w:p w14:paraId="014A1FD5" w14:textId="77777777" w:rsidR="00F23E6D" w:rsidRPr="00F23E6D" w:rsidRDefault="00F23E6D" w:rsidP="00A72615">
      <w:pPr>
        <w:spacing w:line="276" w:lineRule="auto"/>
        <w:rPr>
          <w:rFonts w:ascii="Times New Roman" w:hAnsi="Times New Roman" w:cs="Times New Roman"/>
          <w:lang w:bidi="ar-SA"/>
        </w:rPr>
      </w:pPr>
    </w:p>
    <w:p w14:paraId="13B3F231"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 xml:space="preserve">$ </w:t>
      </w:r>
      <w:proofErr w:type="gramStart"/>
      <w:r w:rsidRPr="00F23E6D">
        <w:rPr>
          <w:rFonts w:ascii="Times New Roman" w:hAnsi="Times New Roman" w:cs="Times New Roman"/>
          <w:b/>
          <w:bCs/>
          <w:lang w:bidi="ar-SA"/>
        </w:rPr>
        <w:t>diff</w:t>
      </w:r>
      <w:proofErr w:type="gramEnd"/>
      <w:r w:rsidRPr="00F23E6D">
        <w:rPr>
          <w:rFonts w:ascii="Times New Roman" w:hAnsi="Times New Roman" w:cs="Times New Roman"/>
          <w:b/>
          <w:bCs/>
          <w:lang w:bidi="ar-SA"/>
        </w:rPr>
        <w:t xml:space="preserve"> /</w:t>
      </w:r>
      <w:proofErr w:type="spellStart"/>
      <w:r w:rsidRPr="00F23E6D">
        <w:rPr>
          <w:rFonts w:ascii="Times New Roman" w:hAnsi="Times New Roman" w:cs="Times New Roman"/>
          <w:b/>
          <w:bCs/>
          <w:lang w:bidi="ar-SA"/>
        </w:rPr>
        <w:t>cygdrive</w:t>
      </w:r>
      <w:proofErr w:type="spellEnd"/>
      <w:r w:rsidRPr="00F23E6D">
        <w:rPr>
          <w:rFonts w:ascii="Times New Roman" w:hAnsi="Times New Roman" w:cs="Times New Roman"/>
          <w:b/>
          <w:bCs/>
          <w:lang w:bidi="ar-SA"/>
        </w:rPr>
        <w:t>/m/n14/</w:t>
      </w:r>
      <w:proofErr w:type="spellStart"/>
      <w:r w:rsidRPr="00F23E6D">
        <w:rPr>
          <w:rFonts w:ascii="Times New Roman" w:hAnsi="Times New Roman" w:cs="Times New Roman"/>
          <w:b/>
          <w:bCs/>
          <w:lang w:bidi="ar-SA"/>
        </w:rPr>
        <w:t>homedir</w:t>
      </w:r>
      <w:proofErr w:type="spellEnd"/>
      <w:r w:rsidRPr="00F23E6D">
        <w:rPr>
          <w:rFonts w:ascii="Times New Roman" w:hAnsi="Times New Roman" w:cs="Times New Roman"/>
          <w:b/>
          <w:bCs/>
          <w:lang w:bidi="ar-SA"/>
        </w:rPr>
        <w:t>/scedes.all.ref2014.d102413a WRI/</w:t>
      </w:r>
      <w:proofErr w:type="spellStart"/>
      <w:r w:rsidRPr="00F23E6D">
        <w:rPr>
          <w:rFonts w:ascii="Times New Roman" w:hAnsi="Times New Roman" w:cs="Times New Roman"/>
          <w:b/>
          <w:bCs/>
          <w:lang w:bidi="ar-SA"/>
        </w:rPr>
        <w:t>tsquare_contents</w:t>
      </w:r>
      <w:proofErr w:type="spellEnd"/>
      <w:r w:rsidRPr="00F23E6D">
        <w:rPr>
          <w:rFonts w:ascii="Times New Roman" w:hAnsi="Times New Roman" w:cs="Times New Roman"/>
          <w:b/>
          <w:bCs/>
          <w:lang w:bidi="ar-SA"/>
        </w:rPr>
        <w:t>/Residential-Yu\ Wang/AS+BC/scedes.all.wri.as+bc.txt</w:t>
      </w:r>
    </w:p>
    <w:p w14:paraId="795F0409"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3</w:t>
      </w:r>
      <w:proofErr w:type="gramStart"/>
      <w:r w:rsidRPr="00F23E6D">
        <w:rPr>
          <w:rFonts w:ascii="Times New Roman" w:hAnsi="Times New Roman" w:cs="Times New Roman"/>
          <w:lang w:bidi="ar-SA"/>
        </w:rPr>
        <w:t>,4c3,4</w:t>
      </w:r>
      <w:proofErr w:type="gramEnd"/>
    </w:p>
    <w:p w14:paraId="4D2AC87D"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EXBUILD=1</w:t>
      </w:r>
    </w:p>
    <w:p w14:paraId="7D5A4557"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RDCVFACT=1</w:t>
      </w:r>
    </w:p>
    <w:p w14:paraId="0B2303F5"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595B9077"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EXBUILD=0</w:t>
      </w:r>
    </w:p>
    <w:p w14:paraId="28C2037E"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RDCVFACT=0</w:t>
      </w:r>
    </w:p>
    <w:p w14:paraId="360CBF95"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22c22</w:t>
      </w:r>
    </w:p>
    <w:p w14:paraId="221E838F"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MAXITR=6</w:t>
      </w:r>
    </w:p>
    <w:p w14:paraId="07A9C2EB"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16A76D2B"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MAXITR=2</w:t>
      </w:r>
    </w:p>
    <w:p w14:paraId="3013BC26"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601,602c601</w:t>
      </w:r>
      <w:proofErr w:type="gramStart"/>
      <w:r w:rsidRPr="00F23E6D">
        <w:rPr>
          <w:rFonts w:ascii="Times New Roman" w:hAnsi="Times New Roman" w:cs="Times New Roman"/>
          <w:lang w:bidi="ar-SA"/>
        </w:rPr>
        <w:t>,602</w:t>
      </w:r>
      <w:proofErr w:type="gramEnd"/>
    </w:p>
    <w:p w14:paraId="0025DA1F"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RSMSHLN=$NEMS/input/rsmshl.v1.10.txt</w:t>
      </w:r>
    </w:p>
    <w:p w14:paraId="472D8258"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RSMEQPN=$NEMS/input/rsmeqp.v1.14.txt</w:t>
      </w:r>
    </w:p>
    <w:p w14:paraId="37EE54D2"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4D38BEE6"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RSMSHLN=$NEMS//mid/</w:t>
      </w:r>
      <w:proofErr w:type="spellStart"/>
      <w:r w:rsidRPr="00F23E6D">
        <w:rPr>
          <w:rFonts w:ascii="Times New Roman" w:hAnsi="Times New Roman" w:cs="Times New Roman"/>
          <w:lang w:bidi="ar-SA"/>
        </w:rPr>
        <w:t>wco</w:t>
      </w:r>
      <w:proofErr w:type="spellEnd"/>
      <w:r w:rsidRPr="00F23E6D">
        <w:rPr>
          <w:rFonts w:ascii="Times New Roman" w:hAnsi="Times New Roman" w:cs="Times New Roman"/>
          <w:lang w:bidi="ar-SA"/>
        </w:rPr>
        <w:t>/aeo2014/</w:t>
      </w:r>
      <w:proofErr w:type="spellStart"/>
      <w:r w:rsidRPr="00F23E6D">
        <w:rPr>
          <w:rFonts w:ascii="Times New Roman" w:hAnsi="Times New Roman" w:cs="Times New Roman"/>
          <w:lang w:bidi="ar-SA"/>
        </w:rPr>
        <w:t>sidecases</w:t>
      </w:r>
      <w:proofErr w:type="spellEnd"/>
      <w:r w:rsidRPr="00F23E6D">
        <w:rPr>
          <w:rFonts w:ascii="Times New Roman" w:hAnsi="Times New Roman" w:cs="Times New Roman"/>
          <w:lang w:bidi="ar-SA"/>
        </w:rPr>
        <w:t>/rsmshl-best.txt</w:t>
      </w:r>
    </w:p>
    <w:p w14:paraId="150069C1"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RSMEQPN=/</w:t>
      </w:r>
      <w:proofErr w:type="spellStart"/>
      <w:r w:rsidRPr="00F23E6D">
        <w:rPr>
          <w:rFonts w:ascii="Times New Roman" w:hAnsi="Times New Roman" w:cs="Times New Roman"/>
          <w:lang w:bidi="ar-SA"/>
        </w:rPr>
        <w:t>cygdrive</w:t>
      </w:r>
      <w:proofErr w:type="spellEnd"/>
      <w:r w:rsidRPr="00F23E6D">
        <w:rPr>
          <w:rFonts w:ascii="Times New Roman" w:hAnsi="Times New Roman" w:cs="Times New Roman"/>
          <w:lang w:bidi="ar-SA"/>
        </w:rPr>
        <w:t>/m/</w:t>
      </w:r>
      <w:proofErr w:type="spellStart"/>
      <w:r w:rsidRPr="00F23E6D">
        <w:rPr>
          <w:rFonts w:ascii="Times New Roman" w:hAnsi="Times New Roman" w:cs="Times New Roman"/>
          <w:lang w:bidi="ar-SA"/>
        </w:rPr>
        <w:t>nemshome</w:t>
      </w:r>
      <w:proofErr w:type="spellEnd"/>
      <w:r w:rsidRPr="00F23E6D">
        <w:rPr>
          <w:rFonts w:ascii="Times New Roman" w:hAnsi="Times New Roman" w:cs="Times New Roman"/>
          <w:lang w:bidi="ar-SA"/>
        </w:rPr>
        <w:t>/yw3/WRI/rsmeqp-as.txt</w:t>
      </w:r>
    </w:p>
    <w:p w14:paraId="4BE5CFAE"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605c605</w:t>
      </w:r>
    </w:p>
    <w:p w14:paraId="4A5D1363"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RSMLGTN=$NEMS/input/rsmlgt.v1.17.txt</w:t>
      </w:r>
    </w:p>
    <w:p w14:paraId="6FBD9A3F"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57D3688F"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RSMLGTN=$NEMS/mid/</w:t>
      </w:r>
      <w:proofErr w:type="spellStart"/>
      <w:r w:rsidRPr="00F23E6D">
        <w:rPr>
          <w:rFonts w:ascii="Times New Roman" w:hAnsi="Times New Roman" w:cs="Times New Roman"/>
          <w:lang w:bidi="ar-SA"/>
        </w:rPr>
        <w:t>wco</w:t>
      </w:r>
      <w:proofErr w:type="spellEnd"/>
      <w:r w:rsidRPr="00F23E6D">
        <w:rPr>
          <w:rFonts w:ascii="Times New Roman" w:hAnsi="Times New Roman" w:cs="Times New Roman"/>
          <w:lang w:bidi="ar-SA"/>
        </w:rPr>
        <w:t>/aeo2014/</w:t>
      </w:r>
      <w:proofErr w:type="spellStart"/>
      <w:r w:rsidRPr="00F23E6D">
        <w:rPr>
          <w:rFonts w:ascii="Times New Roman" w:hAnsi="Times New Roman" w:cs="Times New Roman"/>
          <w:lang w:bidi="ar-SA"/>
        </w:rPr>
        <w:t>sidecases</w:t>
      </w:r>
      <w:proofErr w:type="spellEnd"/>
      <w:r w:rsidRPr="00F23E6D">
        <w:rPr>
          <w:rFonts w:ascii="Times New Roman" w:hAnsi="Times New Roman" w:cs="Times New Roman"/>
          <w:lang w:bidi="ar-SA"/>
        </w:rPr>
        <w:t>/rsmlgt-best.txt</w:t>
      </w:r>
    </w:p>
    <w:p w14:paraId="645F1196"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607c607</w:t>
      </w:r>
    </w:p>
    <w:p w14:paraId="2E3286F4"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RSMELSN=$NEMS/input/rsmels.v1.14.txt</w:t>
      </w:r>
    </w:p>
    <w:p w14:paraId="637001D9"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5B03DF69"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RSMELSN=/</w:t>
      </w:r>
      <w:proofErr w:type="spellStart"/>
      <w:r w:rsidRPr="00F23E6D">
        <w:rPr>
          <w:rFonts w:ascii="Times New Roman" w:hAnsi="Times New Roman" w:cs="Times New Roman"/>
          <w:lang w:bidi="ar-SA"/>
        </w:rPr>
        <w:t>cygdrive</w:t>
      </w:r>
      <w:proofErr w:type="spellEnd"/>
      <w:r w:rsidRPr="00F23E6D">
        <w:rPr>
          <w:rFonts w:ascii="Times New Roman" w:hAnsi="Times New Roman" w:cs="Times New Roman"/>
          <w:lang w:bidi="ar-SA"/>
        </w:rPr>
        <w:t>/m/</w:t>
      </w:r>
      <w:proofErr w:type="spellStart"/>
      <w:r w:rsidRPr="00F23E6D">
        <w:rPr>
          <w:rFonts w:ascii="Times New Roman" w:hAnsi="Times New Roman" w:cs="Times New Roman"/>
          <w:lang w:bidi="ar-SA"/>
        </w:rPr>
        <w:t>nemshome</w:t>
      </w:r>
      <w:proofErr w:type="spellEnd"/>
      <w:r w:rsidRPr="00F23E6D">
        <w:rPr>
          <w:rFonts w:ascii="Times New Roman" w:hAnsi="Times New Roman" w:cs="Times New Roman"/>
          <w:lang w:bidi="ar-SA"/>
        </w:rPr>
        <w:t>/yw3/WRI/rsmels-as.txt</w:t>
      </w:r>
    </w:p>
    <w:p w14:paraId="3E9EA978" w14:textId="77777777" w:rsidR="00F23E6D" w:rsidRPr="00F23E6D" w:rsidRDefault="00F23E6D" w:rsidP="00A72615">
      <w:pPr>
        <w:spacing w:line="276" w:lineRule="auto"/>
        <w:rPr>
          <w:rFonts w:ascii="Times New Roman" w:hAnsi="Times New Roman" w:cs="Times New Roman"/>
          <w:lang w:bidi="ar-SA"/>
        </w:rPr>
      </w:pPr>
    </w:p>
    <w:p w14:paraId="67D830C4"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 xml:space="preserve">$ </w:t>
      </w:r>
      <w:proofErr w:type="gramStart"/>
      <w:r w:rsidRPr="00F23E6D">
        <w:rPr>
          <w:rFonts w:ascii="Times New Roman" w:hAnsi="Times New Roman" w:cs="Times New Roman"/>
          <w:b/>
          <w:bCs/>
          <w:lang w:bidi="ar-SA"/>
        </w:rPr>
        <w:t>diff</w:t>
      </w:r>
      <w:proofErr w:type="gramEnd"/>
      <w:r w:rsidRPr="00F23E6D">
        <w:rPr>
          <w:rFonts w:ascii="Times New Roman" w:hAnsi="Times New Roman" w:cs="Times New Roman"/>
          <w:b/>
          <w:bCs/>
          <w:lang w:bidi="ar-SA"/>
        </w:rPr>
        <w:t xml:space="preserve"> /</w:t>
      </w:r>
      <w:proofErr w:type="spellStart"/>
      <w:r w:rsidRPr="00F23E6D">
        <w:rPr>
          <w:rFonts w:ascii="Times New Roman" w:hAnsi="Times New Roman" w:cs="Times New Roman"/>
          <w:b/>
          <w:bCs/>
          <w:lang w:bidi="ar-SA"/>
        </w:rPr>
        <w:t>cygdrive</w:t>
      </w:r>
      <w:proofErr w:type="spellEnd"/>
      <w:r w:rsidRPr="00F23E6D">
        <w:rPr>
          <w:rFonts w:ascii="Times New Roman" w:hAnsi="Times New Roman" w:cs="Times New Roman"/>
          <w:b/>
          <w:bCs/>
          <w:lang w:bidi="ar-SA"/>
        </w:rPr>
        <w:t>/m/n14/</w:t>
      </w:r>
      <w:proofErr w:type="spellStart"/>
      <w:r w:rsidRPr="00F23E6D">
        <w:rPr>
          <w:rFonts w:ascii="Times New Roman" w:hAnsi="Times New Roman" w:cs="Times New Roman"/>
          <w:b/>
          <w:bCs/>
          <w:lang w:bidi="ar-SA"/>
        </w:rPr>
        <w:t>homedir</w:t>
      </w:r>
      <w:proofErr w:type="spellEnd"/>
      <w:r w:rsidRPr="00F23E6D">
        <w:rPr>
          <w:rFonts w:ascii="Times New Roman" w:hAnsi="Times New Roman" w:cs="Times New Roman"/>
          <w:b/>
          <w:bCs/>
          <w:lang w:bidi="ar-SA"/>
        </w:rPr>
        <w:t>/scedes.all.ref2014.d102413a Industrial-Matt\ Cox/scedes.indhech.d111111x.txt</w:t>
      </w:r>
    </w:p>
    <w:p w14:paraId="6BD3B6AD"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19c19</w:t>
      </w:r>
    </w:p>
    <w:p w14:paraId="34140522"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NRUNS=8</w:t>
      </w:r>
    </w:p>
    <w:p w14:paraId="7F15AD9C"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7DB225B7"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NRUNS=20</w:t>
      </w:r>
    </w:p>
    <w:p w14:paraId="365DDAFC"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22c22</w:t>
      </w:r>
    </w:p>
    <w:p w14:paraId="49A6D8FA"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MAXITR=6</w:t>
      </w:r>
    </w:p>
    <w:p w14:paraId="20DECA16"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1DFB6A9D"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MAXITR=2</w:t>
      </w:r>
    </w:p>
    <w:p w14:paraId="5135BA7D"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lastRenderedPageBreak/>
        <w:t>290c290</w:t>
      </w:r>
    </w:p>
    <w:p w14:paraId="154022C2"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INDRUNN=$NEMS/input/indrun.v1.24.txt</w:t>
      </w:r>
    </w:p>
    <w:p w14:paraId="58821BAE"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126CCCB0"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INDRUNN=$NEMS/input/indrun.v1.22.1.2.txt</w:t>
      </w:r>
    </w:p>
    <w:p w14:paraId="72F533AE"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410c410</w:t>
      </w:r>
    </w:p>
    <w:p w14:paraId="43CC9FCF"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WODSUPPN=$NEMS/input/wodsupp.v1.44.txt</w:t>
      </w:r>
    </w:p>
    <w:p w14:paraId="1C1B9CF2"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6A60B419"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WODSUPPN=$NEMS/rec/gja/aeo2014/sidecases/locstren/wodsupp.lcr_2014.txt</w:t>
      </w:r>
    </w:p>
    <w:p w14:paraId="1AEA082A"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463c463</w:t>
      </w:r>
    </w:p>
    <w:p w14:paraId="1F47E802"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ITECHN=$NEMS/input/itech.v1.105.txt</w:t>
      </w:r>
    </w:p>
    <w:p w14:paraId="249C69C6"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1F928AA0"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ITECHN=/</w:t>
      </w:r>
      <w:proofErr w:type="spellStart"/>
      <w:r w:rsidRPr="00F23E6D">
        <w:rPr>
          <w:rFonts w:ascii="Times New Roman" w:hAnsi="Times New Roman" w:cs="Times New Roman"/>
          <w:lang w:bidi="ar-SA"/>
        </w:rPr>
        <w:t>cygdrive</w:t>
      </w:r>
      <w:proofErr w:type="spellEnd"/>
      <w:r w:rsidRPr="00F23E6D">
        <w:rPr>
          <w:rFonts w:ascii="Times New Roman" w:hAnsi="Times New Roman" w:cs="Times New Roman"/>
          <w:lang w:bidi="ar-SA"/>
        </w:rPr>
        <w:t>/m/</w:t>
      </w:r>
      <w:proofErr w:type="spellStart"/>
      <w:r w:rsidRPr="00F23E6D">
        <w:rPr>
          <w:rFonts w:ascii="Times New Roman" w:hAnsi="Times New Roman" w:cs="Times New Roman"/>
          <w:lang w:bidi="ar-SA"/>
        </w:rPr>
        <w:t>nemshome</w:t>
      </w:r>
      <w:proofErr w:type="spellEnd"/>
      <w:r w:rsidRPr="00F23E6D">
        <w:rPr>
          <w:rFonts w:ascii="Times New Roman" w:hAnsi="Times New Roman" w:cs="Times New Roman"/>
          <w:lang w:bidi="ar-SA"/>
        </w:rPr>
        <w:t>/wc6/</w:t>
      </w:r>
      <w:proofErr w:type="spellStart"/>
      <w:r w:rsidRPr="00F23E6D">
        <w:rPr>
          <w:rFonts w:ascii="Times New Roman" w:hAnsi="Times New Roman" w:cs="Times New Roman"/>
          <w:lang w:bidi="ar-SA"/>
        </w:rPr>
        <w:t>wriindrun</w:t>
      </w:r>
      <w:proofErr w:type="spellEnd"/>
      <w:r w:rsidRPr="00F23E6D">
        <w:rPr>
          <w:rFonts w:ascii="Times New Roman" w:hAnsi="Times New Roman" w:cs="Times New Roman"/>
          <w:lang w:bidi="ar-SA"/>
        </w:rPr>
        <w:t>/itechhechigh.txt</w:t>
      </w:r>
    </w:p>
    <w:p w14:paraId="53DCF0B8"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531c531</w:t>
      </w:r>
    </w:p>
    <w:p w14:paraId="5E0B9F74"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&lt; INDCOGENN=$NEMS/input/indcogen.v1.11.xml</w:t>
      </w:r>
    </w:p>
    <w:p w14:paraId="7EF11275"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w:t>
      </w:r>
    </w:p>
    <w:p w14:paraId="015E133C"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&gt; INDCOGENN=/</w:t>
      </w:r>
      <w:proofErr w:type="spellStart"/>
      <w:r w:rsidRPr="00F23E6D">
        <w:rPr>
          <w:rFonts w:ascii="Times New Roman" w:hAnsi="Times New Roman" w:cs="Times New Roman"/>
          <w:lang w:bidi="ar-SA"/>
        </w:rPr>
        <w:t>cygdrive</w:t>
      </w:r>
      <w:proofErr w:type="spellEnd"/>
      <w:r w:rsidRPr="00F23E6D">
        <w:rPr>
          <w:rFonts w:ascii="Times New Roman" w:hAnsi="Times New Roman" w:cs="Times New Roman"/>
          <w:lang w:bidi="ar-SA"/>
        </w:rPr>
        <w:t>/m/</w:t>
      </w:r>
      <w:proofErr w:type="spellStart"/>
      <w:r w:rsidRPr="00F23E6D">
        <w:rPr>
          <w:rFonts w:ascii="Times New Roman" w:hAnsi="Times New Roman" w:cs="Times New Roman"/>
          <w:lang w:bidi="ar-SA"/>
        </w:rPr>
        <w:t>nemshome</w:t>
      </w:r>
      <w:proofErr w:type="spellEnd"/>
      <w:r w:rsidRPr="00F23E6D">
        <w:rPr>
          <w:rFonts w:ascii="Times New Roman" w:hAnsi="Times New Roman" w:cs="Times New Roman"/>
          <w:lang w:bidi="ar-SA"/>
        </w:rPr>
        <w:t>/wc6/</w:t>
      </w:r>
      <w:proofErr w:type="spellStart"/>
      <w:r w:rsidRPr="00F23E6D">
        <w:rPr>
          <w:rFonts w:ascii="Times New Roman" w:hAnsi="Times New Roman" w:cs="Times New Roman"/>
          <w:lang w:bidi="ar-SA"/>
        </w:rPr>
        <w:t>wriindrun</w:t>
      </w:r>
      <w:proofErr w:type="spellEnd"/>
      <w:r w:rsidRPr="00F23E6D">
        <w:rPr>
          <w:rFonts w:ascii="Times New Roman" w:hAnsi="Times New Roman" w:cs="Times New Roman"/>
          <w:lang w:bidi="ar-SA"/>
        </w:rPr>
        <w:t>/indcogen_indsc.xml</w:t>
      </w:r>
    </w:p>
    <w:p w14:paraId="11149AAC" w14:textId="77777777" w:rsidR="00F23E6D" w:rsidRPr="00F23E6D" w:rsidRDefault="00F23E6D" w:rsidP="00A72615">
      <w:pPr>
        <w:spacing w:line="276" w:lineRule="auto"/>
        <w:rPr>
          <w:rFonts w:ascii="Times New Roman" w:hAnsi="Times New Roman" w:cs="Times New Roman"/>
          <w:lang w:bidi="ar-SA"/>
        </w:rPr>
      </w:pPr>
      <w:r w:rsidRPr="00F23E6D">
        <w:rPr>
          <w:rFonts w:ascii="Times New Roman" w:hAnsi="Times New Roman" w:cs="Times New Roman"/>
          <w:lang w:bidi="ar-SA"/>
        </w:rPr>
        <w:t>[2014] ~/WRI/</w:t>
      </w:r>
      <w:proofErr w:type="spellStart"/>
      <w:r w:rsidRPr="00F23E6D">
        <w:rPr>
          <w:rFonts w:ascii="Times New Roman" w:hAnsi="Times New Roman" w:cs="Times New Roman"/>
          <w:lang w:bidi="ar-SA"/>
        </w:rPr>
        <w:t>tsquare_contents</w:t>
      </w:r>
      <w:proofErr w:type="spellEnd"/>
    </w:p>
    <w:p w14:paraId="285A0102" w14:textId="77777777" w:rsidR="00C72D8F" w:rsidRPr="00F23E6D" w:rsidRDefault="00C72D8F" w:rsidP="00A72615">
      <w:pPr>
        <w:pStyle w:val="TextBody"/>
        <w:spacing w:line="276" w:lineRule="auto"/>
        <w:rPr>
          <w:rFonts w:ascii="Times New Roman" w:hAnsi="Times New Roman" w:cs="Times New Roman"/>
          <w:b/>
        </w:rPr>
      </w:pPr>
    </w:p>
    <w:p w14:paraId="778E99A6" w14:textId="7FA79683" w:rsidR="003514C1" w:rsidRPr="00F23E6D" w:rsidRDefault="003514C1" w:rsidP="00A72615">
      <w:pPr>
        <w:pStyle w:val="TextBody"/>
        <w:spacing w:line="276" w:lineRule="auto"/>
        <w:rPr>
          <w:rFonts w:ascii="Times New Roman" w:hAnsi="Times New Roman" w:cs="Times New Roman"/>
          <w:b/>
        </w:rPr>
      </w:pPr>
      <w:r w:rsidRPr="00F23E6D">
        <w:rPr>
          <w:rFonts w:ascii="Times New Roman" w:hAnsi="Times New Roman" w:cs="Times New Roman"/>
          <w:b/>
        </w:rPr>
        <w:t>Modeling det</w:t>
      </w:r>
      <w:r w:rsidR="00F23E6D" w:rsidRPr="00F23E6D">
        <w:rPr>
          <w:rFonts w:ascii="Times New Roman" w:hAnsi="Times New Roman" w:cs="Times New Roman"/>
          <w:b/>
        </w:rPr>
        <w:t xml:space="preserve">ails for the commercial sector </w:t>
      </w:r>
    </w:p>
    <w:p w14:paraId="2F387258" w14:textId="238770AA" w:rsidR="003514C1" w:rsidRPr="00F23E6D" w:rsidRDefault="003514C1" w:rsidP="00A72615">
      <w:pPr>
        <w:pStyle w:val="TextBody"/>
        <w:spacing w:line="276" w:lineRule="auto"/>
        <w:rPr>
          <w:rFonts w:ascii="Times New Roman" w:hAnsi="Times New Roman" w:cs="Times New Roman"/>
        </w:rPr>
      </w:pPr>
      <w:r w:rsidRPr="00F23E6D">
        <w:rPr>
          <w:rFonts w:ascii="Times New Roman" w:hAnsi="Times New Roman" w:cs="Times New Roman"/>
        </w:rPr>
        <w:t>We also explored using the following files to model commercial codes and standards:</w:t>
      </w:r>
    </w:p>
    <w:p w14:paraId="0F75EEED" w14:textId="77777777" w:rsidR="000352BD" w:rsidRDefault="000352BD" w:rsidP="00A72615">
      <w:pPr>
        <w:pStyle w:val="TextBody"/>
        <w:spacing w:line="276" w:lineRule="auto"/>
        <w:rPr>
          <w:rFonts w:ascii="Times New Roman" w:hAnsi="Times New Roman" w:cs="Times New Roman"/>
        </w:rPr>
      </w:pPr>
    </w:p>
    <w:p w14:paraId="0E27B4C7" w14:textId="1ECF3D78" w:rsidR="007E7FAB" w:rsidRPr="00F23E6D" w:rsidRDefault="000352BD" w:rsidP="00A72615">
      <w:pPr>
        <w:pStyle w:val="TextBody"/>
        <w:spacing w:line="276" w:lineRule="auto"/>
        <w:rPr>
          <w:rFonts w:ascii="Times New Roman" w:hAnsi="Times New Roman" w:cs="Times New Roman"/>
        </w:rPr>
      </w:pPr>
      <w:r>
        <w:rPr>
          <w:rFonts w:ascii="Times New Roman" w:hAnsi="Times New Roman" w:cs="Times New Roman"/>
        </w:rPr>
        <w:t>Standards</w:t>
      </w:r>
    </w:p>
    <w:tbl>
      <w:tblPr>
        <w:tblW w:w="6700" w:type="dxa"/>
        <w:tblInd w:w="93" w:type="dxa"/>
        <w:tblLook w:val="04A0" w:firstRow="1" w:lastRow="0" w:firstColumn="1" w:lastColumn="0" w:noHBand="0" w:noVBand="1"/>
      </w:tblPr>
      <w:tblGrid>
        <w:gridCol w:w="1300"/>
        <w:gridCol w:w="2580"/>
        <w:gridCol w:w="1520"/>
        <w:gridCol w:w="1300"/>
      </w:tblGrid>
      <w:tr w:rsidR="000352BD" w:rsidRPr="00F23E6D" w14:paraId="26B006B7" w14:textId="77777777" w:rsidTr="00036D62">
        <w:trPr>
          <w:trHeight w:val="400"/>
        </w:trPr>
        <w:tc>
          <w:tcPr>
            <w:tcW w:w="1300" w:type="dxa"/>
            <w:tcBorders>
              <w:top w:val="nil"/>
              <w:left w:val="nil"/>
              <w:bottom w:val="nil"/>
              <w:right w:val="nil"/>
            </w:tcBorders>
            <w:shd w:val="clear" w:color="auto" w:fill="auto"/>
            <w:noWrap/>
            <w:vAlign w:val="bottom"/>
            <w:hideMark/>
          </w:tcPr>
          <w:p w14:paraId="1005FF01" w14:textId="5FE6B940" w:rsidR="000352BD" w:rsidRPr="000352BD" w:rsidRDefault="000352BD" w:rsidP="00A72615">
            <w:pPr>
              <w:spacing w:line="276" w:lineRule="auto"/>
              <w:rPr>
                <w:rFonts w:ascii="Times New Roman" w:eastAsia="Times New Roman" w:hAnsi="Times New Roman" w:cs="Times New Roman"/>
                <w:lang w:eastAsia="en-US" w:bidi="ar-SA"/>
              </w:rPr>
            </w:pPr>
          </w:p>
        </w:tc>
        <w:tc>
          <w:tcPr>
            <w:tcW w:w="2580" w:type="dxa"/>
            <w:tcBorders>
              <w:top w:val="nil"/>
              <w:left w:val="nil"/>
              <w:bottom w:val="nil"/>
              <w:right w:val="nil"/>
            </w:tcBorders>
            <w:shd w:val="clear" w:color="auto" w:fill="auto"/>
            <w:noWrap/>
            <w:vAlign w:val="bottom"/>
            <w:hideMark/>
          </w:tcPr>
          <w:p w14:paraId="51149591" w14:textId="65C009FE" w:rsidR="000352BD" w:rsidRPr="000352BD" w:rsidRDefault="000352BD"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kintens.wri.txt</w:t>
            </w:r>
          </w:p>
        </w:tc>
        <w:tc>
          <w:tcPr>
            <w:tcW w:w="1520" w:type="dxa"/>
            <w:tcBorders>
              <w:top w:val="nil"/>
              <w:left w:val="nil"/>
              <w:bottom w:val="nil"/>
              <w:right w:val="nil"/>
            </w:tcBorders>
            <w:shd w:val="clear" w:color="auto" w:fill="auto"/>
            <w:noWrap/>
            <w:vAlign w:val="bottom"/>
            <w:hideMark/>
          </w:tcPr>
          <w:p w14:paraId="1DBAAB1A" w14:textId="77777777" w:rsidR="000352BD" w:rsidRPr="00F23E6D" w:rsidRDefault="000352BD" w:rsidP="00A72615">
            <w:pPr>
              <w:spacing w:line="276" w:lineRule="auto"/>
              <w:rPr>
                <w:rFonts w:ascii="Times New Roman" w:eastAsia="Times New Roman" w:hAnsi="Times New Roman" w:cs="Times New Roman"/>
                <w:lang w:eastAsia="en-US" w:bidi="ar-SA"/>
              </w:rPr>
            </w:pPr>
          </w:p>
        </w:tc>
        <w:tc>
          <w:tcPr>
            <w:tcW w:w="1300" w:type="dxa"/>
            <w:tcBorders>
              <w:top w:val="nil"/>
              <w:left w:val="nil"/>
              <w:bottom w:val="nil"/>
              <w:right w:val="nil"/>
            </w:tcBorders>
            <w:shd w:val="clear" w:color="auto" w:fill="auto"/>
            <w:noWrap/>
            <w:vAlign w:val="bottom"/>
            <w:hideMark/>
          </w:tcPr>
          <w:p w14:paraId="1D42CC9B" w14:textId="77777777" w:rsidR="000352BD" w:rsidRPr="00F23E6D" w:rsidRDefault="000352BD" w:rsidP="00A72615">
            <w:pPr>
              <w:spacing w:line="276" w:lineRule="auto"/>
              <w:rPr>
                <w:rFonts w:ascii="Times New Roman" w:eastAsia="Times New Roman" w:hAnsi="Times New Roman" w:cs="Times New Roman"/>
                <w:lang w:eastAsia="en-US" w:bidi="ar-SA"/>
              </w:rPr>
            </w:pPr>
          </w:p>
        </w:tc>
      </w:tr>
      <w:tr w:rsidR="000352BD" w:rsidRPr="00F23E6D" w14:paraId="6FD9ACAA" w14:textId="77777777" w:rsidTr="003514C1">
        <w:trPr>
          <w:trHeight w:val="400"/>
        </w:trPr>
        <w:tc>
          <w:tcPr>
            <w:tcW w:w="1300" w:type="dxa"/>
            <w:tcBorders>
              <w:top w:val="nil"/>
              <w:left w:val="nil"/>
              <w:bottom w:val="nil"/>
              <w:right w:val="nil"/>
            </w:tcBorders>
            <w:shd w:val="clear" w:color="auto" w:fill="auto"/>
            <w:noWrap/>
            <w:vAlign w:val="bottom"/>
            <w:hideMark/>
          </w:tcPr>
          <w:p w14:paraId="49FE5AFE" w14:textId="77777777" w:rsidR="000352BD" w:rsidRPr="00F23E6D" w:rsidRDefault="000352BD" w:rsidP="00A72615">
            <w:pPr>
              <w:spacing w:line="276" w:lineRule="auto"/>
              <w:rPr>
                <w:rFonts w:ascii="Times New Roman" w:eastAsia="Times New Roman" w:hAnsi="Times New Roman" w:cs="Times New Roman"/>
                <w:lang w:eastAsia="en-US" w:bidi="ar-SA"/>
              </w:rPr>
            </w:pPr>
          </w:p>
        </w:tc>
        <w:tc>
          <w:tcPr>
            <w:tcW w:w="2580" w:type="dxa"/>
            <w:tcBorders>
              <w:top w:val="nil"/>
              <w:left w:val="nil"/>
              <w:bottom w:val="nil"/>
              <w:right w:val="nil"/>
            </w:tcBorders>
            <w:shd w:val="clear" w:color="auto" w:fill="auto"/>
            <w:noWrap/>
            <w:vAlign w:val="bottom"/>
            <w:hideMark/>
          </w:tcPr>
          <w:p w14:paraId="3DF5AB2C" w14:textId="6E19CD4C" w:rsidR="000352BD" w:rsidRPr="00F23E6D" w:rsidRDefault="000352BD"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koffpen.best2014.txt</w:t>
            </w:r>
          </w:p>
        </w:tc>
        <w:tc>
          <w:tcPr>
            <w:tcW w:w="2820" w:type="dxa"/>
            <w:gridSpan w:val="2"/>
            <w:tcBorders>
              <w:top w:val="nil"/>
              <w:left w:val="nil"/>
              <w:bottom w:val="nil"/>
              <w:right w:val="nil"/>
            </w:tcBorders>
            <w:shd w:val="clear" w:color="auto" w:fill="auto"/>
            <w:noWrap/>
            <w:vAlign w:val="bottom"/>
            <w:hideMark/>
          </w:tcPr>
          <w:p w14:paraId="14B49C37" w14:textId="77777777" w:rsidR="000352BD" w:rsidRPr="00F23E6D" w:rsidRDefault="000352BD" w:rsidP="00A72615">
            <w:pPr>
              <w:spacing w:line="276" w:lineRule="auto"/>
              <w:rPr>
                <w:rFonts w:ascii="Times New Roman" w:eastAsia="Times New Roman" w:hAnsi="Times New Roman" w:cs="Times New Roman"/>
                <w:lang w:eastAsia="en-US" w:bidi="ar-SA"/>
              </w:rPr>
            </w:pPr>
            <w:proofErr w:type="spellStart"/>
            <w:r w:rsidRPr="00F23E6D">
              <w:rPr>
                <w:rFonts w:ascii="Times New Roman" w:eastAsia="Times New Roman" w:hAnsi="Times New Roman" w:cs="Times New Roman"/>
                <w:lang w:eastAsia="en-US" w:bidi="ar-SA"/>
              </w:rPr>
              <w:t>elctronic</w:t>
            </w:r>
            <w:proofErr w:type="spellEnd"/>
            <w:r w:rsidRPr="00F23E6D">
              <w:rPr>
                <w:rFonts w:ascii="Times New Roman" w:eastAsia="Times New Roman" w:hAnsi="Times New Roman" w:cs="Times New Roman"/>
                <w:lang w:eastAsia="en-US" w:bidi="ar-SA"/>
              </w:rPr>
              <w:t xml:space="preserve"> intensities</w:t>
            </w:r>
          </w:p>
        </w:tc>
      </w:tr>
      <w:tr w:rsidR="000352BD" w:rsidRPr="00F23E6D" w14:paraId="605E0488" w14:textId="77777777" w:rsidTr="003514C1">
        <w:trPr>
          <w:trHeight w:val="400"/>
        </w:trPr>
        <w:tc>
          <w:tcPr>
            <w:tcW w:w="1300" w:type="dxa"/>
            <w:tcBorders>
              <w:top w:val="nil"/>
              <w:left w:val="nil"/>
              <w:bottom w:val="nil"/>
              <w:right w:val="nil"/>
            </w:tcBorders>
            <w:shd w:val="clear" w:color="auto" w:fill="auto"/>
            <w:noWrap/>
            <w:vAlign w:val="bottom"/>
            <w:hideMark/>
          </w:tcPr>
          <w:p w14:paraId="0CC1E8ED" w14:textId="77777777" w:rsidR="000352BD" w:rsidRPr="00F23E6D" w:rsidRDefault="000352BD" w:rsidP="00A72615">
            <w:pPr>
              <w:spacing w:line="276" w:lineRule="auto"/>
              <w:rPr>
                <w:rFonts w:ascii="Times New Roman" w:eastAsia="Times New Roman" w:hAnsi="Times New Roman" w:cs="Times New Roman"/>
                <w:lang w:eastAsia="en-US" w:bidi="ar-SA"/>
              </w:rPr>
            </w:pPr>
          </w:p>
        </w:tc>
        <w:tc>
          <w:tcPr>
            <w:tcW w:w="2580" w:type="dxa"/>
            <w:tcBorders>
              <w:top w:val="nil"/>
              <w:left w:val="nil"/>
              <w:bottom w:val="nil"/>
              <w:right w:val="nil"/>
            </w:tcBorders>
            <w:shd w:val="clear" w:color="auto" w:fill="auto"/>
            <w:noWrap/>
            <w:vAlign w:val="bottom"/>
            <w:hideMark/>
          </w:tcPr>
          <w:p w14:paraId="0611869F" w14:textId="020A581C" w:rsidR="000352BD" w:rsidRPr="00F23E6D" w:rsidRDefault="000352BD"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kprem.v1.27.txt</w:t>
            </w:r>
          </w:p>
        </w:tc>
        <w:tc>
          <w:tcPr>
            <w:tcW w:w="1520" w:type="dxa"/>
            <w:tcBorders>
              <w:top w:val="nil"/>
              <w:left w:val="nil"/>
              <w:bottom w:val="nil"/>
              <w:right w:val="nil"/>
            </w:tcBorders>
            <w:shd w:val="clear" w:color="auto" w:fill="auto"/>
            <w:noWrap/>
            <w:vAlign w:val="bottom"/>
            <w:hideMark/>
          </w:tcPr>
          <w:p w14:paraId="69662FEA" w14:textId="77777777" w:rsidR="000352BD" w:rsidRPr="00F23E6D" w:rsidRDefault="000352BD"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electronics</w:t>
            </w:r>
          </w:p>
        </w:tc>
        <w:tc>
          <w:tcPr>
            <w:tcW w:w="1300" w:type="dxa"/>
            <w:tcBorders>
              <w:top w:val="nil"/>
              <w:left w:val="nil"/>
              <w:bottom w:val="nil"/>
              <w:right w:val="nil"/>
            </w:tcBorders>
            <w:shd w:val="clear" w:color="auto" w:fill="auto"/>
            <w:noWrap/>
            <w:vAlign w:val="bottom"/>
            <w:hideMark/>
          </w:tcPr>
          <w:p w14:paraId="10492004" w14:textId="77777777" w:rsidR="000352BD" w:rsidRPr="00F23E6D" w:rsidRDefault="000352BD" w:rsidP="00A72615">
            <w:pPr>
              <w:spacing w:line="276" w:lineRule="auto"/>
              <w:rPr>
                <w:rFonts w:ascii="Times New Roman" w:eastAsia="Times New Roman" w:hAnsi="Times New Roman" w:cs="Times New Roman"/>
                <w:lang w:eastAsia="en-US" w:bidi="ar-SA"/>
              </w:rPr>
            </w:pPr>
          </w:p>
        </w:tc>
      </w:tr>
      <w:tr w:rsidR="000352BD" w:rsidRPr="00F23E6D" w14:paraId="1BEA48BE" w14:textId="77777777" w:rsidTr="003514C1">
        <w:trPr>
          <w:trHeight w:val="400"/>
        </w:trPr>
        <w:tc>
          <w:tcPr>
            <w:tcW w:w="1300" w:type="dxa"/>
            <w:tcBorders>
              <w:top w:val="nil"/>
              <w:left w:val="nil"/>
              <w:bottom w:val="nil"/>
              <w:right w:val="nil"/>
            </w:tcBorders>
            <w:shd w:val="clear" w:color="auto" w:fill="auto"/>
            <w:noWrap/>
            <w:vAlign w:val="bottom"/>
            <w:hideMark/>
          </w:tcPr>
          <w:p w14:paraId="11E0AF66" w14:textId="77777777" w:rsidR="000352BD" w:rsidRPr="00F23E6D" w:rsidRDefault="000352BD" w:rsidP="00A72615">
            <w:pPr>
              <w:spacing w:line="276" w:lineRule="auto"/>
              <w:rPr>
                <w:rFonts w:ascii="Times New Roman" w:eastAsia="Times New Roman" w:hAnsi="Times New Roman" w:cs="Times New Roman"/>
                <w:lang w:eastAsia="en-US" w:bidi="ar-SA"/>
              </w:rPr>
            </w:pPr>
          </w:p>
        </w:tc>
        <w:tc>
          <w:tcPr>
            <w:tcW w:w="2580" w:type="dxa"/>
            <w:tcBorders>
              <w:top w:val="nil"/>
              <w:left w:val="nil"/>
              <w:bottom w:val="nil"/>
              <w:right w:val="nil"/>
            </w:tcBorders>
            <w:shd w:val="clear" w:color="auto" w:fill="auto"/>
            <w:noWrap/>
            <w:vAlign w:val="bottom"/>
            <w:hideMark/>
          </w:tcPr>
          <w:p w14:paraId="73B5954C" w14:textId="5957E437" w:rsidR="000352BD" w:rsidRPr="00F23E6D" w:rsidRDefault="000352BD"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ktek.best2014.xml</w:t>
            </w:r>
          </w:p>
        </w:tc>
        <w:tc>
          <w:tcPr>
            <w:tcW w:w="1520" w:type="dxa"/>
            <w:tcBorders>
              <w:top w:val="nil"/>
              <w:left w:val="nil"/>
              <w:bottom w:val="nil"/>
              <w:right w:val="nil"/>
            </w:tcBorders>
            <w:shd w:val="clear" w:color="auto" w:fill="auto"/>
            <w:noWrap/>
            <w:vAlign w:val="bottom"/>
            <w:hideMark/>
          </w:tcPr>
          <w:p w14:paraId="182D7C1F" w14:textId="13574A1F" w:rsidR="000352BD" w:rsidRPr="00F23E6D" w:rsidRDefault="00A72615"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appliance standards</w:t>
            </w:r>
          </w:p>
        </w:tc>
        <w:tc>
          <w:tcPr>
            <w:tcW w:w="1300" w:type="dxa"/>
            <w:tcBorders>
              <w:top w:val="nil"/>
              <w:left w:val="nil"/>
              <w:bottom w:val="nil"/>
              <w:right w:val="nil"/>
            </w:tcBorders>
            <w:shd w:val="clear" w:color="auto" w:fill="auto"/>
            <w:noWrap/>
            <w:vAlign w:val="bottom"/>
            <w:hideMark/>
          </w:tcPr>
          <w:p w14:paraId="23FF8050" w14:textId="77777777" w:rsidR="000352BD" w:rsidRPr="00F23E6D" w:rsidRDefault="000352BD" w:rsidP="00A72615">
            <w:pPr>
              <w:spacing w:line="276" w:lineRule="auto"/>
              <w:rPr>
                <w:rFonts w:ascii="Times New Roman" w:eastAsia="Times New Roman" w:hAnsi="Times New Roman" w:cs="Times New Roman"/>
                <w:lang w:eastAsia="en-US" w:bidi="ar-SA"/>
              </w:rPr>
            </w:pPr>
          </w:p>
        </w:tc>
      </w:tr>
      <w:tr w:rsidR="000352BD" w:rsidRPr="00F23E6D" w14:paraId="473D318C" w14:textId="77777777" w:rsidTr="003514C1">
        <w:trPr>
          <w:trHeight w:val="400"/>
        </w:trPr>
        <w:tc>
          <w:tcPr>
            <w:tcW w:w="1300" w:type="dxa"/>
            <w:tcBorders>
              <w:top w:val="nil"/>
              <w:left w:val="nil"/>
              <w:bottom w:val="nil"/>
              <w:right w:val="nil"/>
            </w:tcBorders>
            <w:shd w:val="clear" w:color="auto" w:fill="auto"/>
            <w:noWrap/>
            <w:vAlign w:val="bottom"/>
            <w:hideMark/>
          </w:tcPr>
          <w:p w14:paraId="39598745" w14:textId="77777777" w:rsidR="00A72615" w:rsidRDefault="00A72615" w:rsidP="00A72615">
            <w:pPr>
              <w:spacing w:line="276" w:lineRule="auto"/>
              <w:rPr>
                <w:rFonts w:ascii="Times New Roman" w:eastAsia="Times New Roman" w:hAnsi="Times New Roman" w:cs="Times New Roman"/>
                <w:lang w:eastAsia="en-US" w:bidi="ar-SA"/>
              </w:rPr>
            </w:pPr>
          </w:p>
          <w:p w14:paraId="3AA7432D" w14:textId="77777777" w:rsidR="00A72615" w:rsidRDefault="00A72615" w:rsidP="00A72615">
            <w:pPr>
              <w:spacing w:line="276" w:lineRule="auto"/>
              <w:rPr>
                <w:rFonts w:ascii="Times New Roman" w:eastAsia="Times New Roman" w:hAnsi="Times New Roman" w:cs="Times New Roman"/>
                <w:lang w:eastAsia="en-US" w:bidi="ar-SA"/>
              </w:rPr>
            </w:pPr>
          </w:p>
          <w:p w14:paraId="05F56609" w14:textId="1487D094" w:rsidR="000352BD" w:rsidRPr="00F23E6D" w:rsidRDefault="00A72615" w:rsidP="00A72615">
            <w:pPr>
              <w:spacing w:line="276" w:lineRule="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Codes</w:t>
            </w:r>
          </w:p>
        </w:tc>
        <w:tc>
          <w:tcPr>
            <w:tcW w:w="2580" w:type="dxa"/>
            <w:tcBorders>
              <w:top w:val="nil"/>
              <w:left w:val="nil"/>
              <w:bottom w:val="nil"/>
              <w:right w:val="nil"/>
            </w:tcBorders>
            <w:shd w:val="clear" w:color="auto" w:fill="auto"/>
            <w:noWrap/>
            <w:vAlign w:val="bottom"/>
            <w:hideMark/>
          </w:tcPr>
          <w:p w14:paraId="325825E9" w14:textId="3D1C7373" w:rsidR="000352BD" w:rsidRPr="00F23E6D" w:rsidRDefault="00A72615"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comm_best2014.obj</w:t>
            </w:r>
          </w:p>
        </w:tc>
        <w:tc>
          <w:tcPr>
            <w:tcW w:w="2820" w:type="dxa"/>
            <w:gridSpan w:val="2"/>
            <w:tcBorders>
              <w:top w:val="nil"/>
              <w:left w:val="nil"/>
              <w:bottom w:val="nil"/>
              <w:right w:val="nil"/>
            </w:tcBorders>
            <w:shd w:val="clear" w:color="auto" w:fill="auto"/>
            <w:noWrap/>
            <w:vAlign w:val="bottom"/>
            <w:hideMark/>
          </w:tcPr>
          <w:p w14:paraId="7AB32FC9" w14:textId="70C6C531" w:rsidR="000352BD" w:rsidRPr="00F23E6D" w:rsidRDefault="00A72615" w:rsidP="00A72615">
            <w:pPr>
              <w:spacing w:line="276" w:lineRule="auto"/>
              <w:rPr>
                <w:rFonts w:ascii="Times New Roman" w:eastAsia="Times New Roman" w:hAnsi="Times New Roman" w:cs="Times New Roman"/>
                <w:lang w:eastAsia="en-US" w:bidi="ar-SA"/>
              </w:rPr>
            </w:pPr>
            <w:r w:rsidRPr="00F23E6D">
              <w:rPr>
                <w:rFonts w:ascii="Times New Roman" w:eastAsia="Times New Roman" w:hAnsi="Times New Roman" w:cs="Times New Roman"/>
                <w:lang w:eastAsia="en-US" w:bidi="ar-SA"/>
              </w:rPr>
              <w:t>includes shell improvements</w:t>
            </w:r>
          </w:p>
        </w:tc>
      </w:tr>
    </w:tbl>
    <w:p w14:paraId="68464886" w14:textId="77777777" w:rsidR="003514C1" w:rsidRPr="00F23E6D" w:rsidRDefault="003514C1" w:rsidP="00A72615">
      <w:pPr>
        <w:pStyle w:val="TextBody"/>
        <w:spacing w:line="276" w:lineRule="auto"/>
        <w:rPr>
          <w:rFonts w:ascii="Times New Roman" w:hAnsi="Times New Roman" w:cs="Times New Roman"/>
        </w:rPr>
      </w:pPr>
    </w:p>
    <w:p w14:paraId="4145B35F" w14:textId="77777777" w:rsidR="007E7FAB" w:rsidRPr="00F23E6D" w:rsidRDefault="0089538B" w:rsidP="00A72615">
      <w:pPr>
        <w:pStyle w:val="TextBody"/>
        <w:spacing w:line="276" w:lineRule="auto"/>
        <w:rPr>
          <w:rFonts w:ascii="Times New Roman" w:hAnsi="Times New Roman" w:cs="Times New Roman"/>
          <w:b/>
        </w:rPr>
      </w:pPr>
      <w:r w:rsidRPr="00F23E6D">
        <w:rPr>
          <w:rFonts w:ascii="Times New Roman" w:hAnsi="Times New Roman" w:cs="Times New Roman"/>
          <w:b/>
        </w:rPr>
        <w:t xml:space="preserve">Modeling details for the industrial sector </w:t>
      </w:r>
    </w:p>
    <w:p w14:paraId="2D8F0306" w14:textId="63D711D0" w:rsidR="00014C6C" w:rsidRPr="00F23E6D" w:rsidRDefault="001840B9" w:rsidP="00A72615">
      <w:pPr>
        <w:pStyle w:val="TextBody"/>
        <w:spacing w:line="276" w:lineRule="auto"/>
        <w:rPr>
          <w:rFonts w:ascii="Times New Roman" w:hAnsi="Times New Roman" w:cs="Times New Roman"/>
        </w:rPr>
      </w:pPr>
      <w:r w:rsidRPr="00F23E6D">
        <w:rPr>
          <w:rFonts w:ascii="Times New Roman" w:hAnsi="Times New Roman" w:cs="Times New Roman"/>
          <w:bCs/>
        </w:rPr>
        <w:t>Peter Gross</w:t>
      </w:r>
      <w:r w:rsidR="0089538B" w:rsidRPr="00F23E6D">
        <w:rPr>
          <w:rFonts w:ascii="Times New Roman" w:hAnsi="Times New Roman" w:cs="Times New Roman"/>
        </w:rPr>
        <w:t xml:space="preserve"> </w:t>
      </w:r>
      <w:r w:rsidRPr="00F23E6D">
        <w:rPr>
          <w:rFonts w:ascii="Times New Roman" w:hAnsi="Times New Roman" w:cs="Times New Roman"/>
        </w:rPr>
        <w:t>(EIA)</w:t>
      </w:r>
      <w:r w:rsidR="007E7FAB" w:rsidRPr="00F23E6D">
        <w:rPr>
          <w:rFonts w:ascii="Times New Roman" w:hAnsi="Times New Roman" w:cs="Times New Roman"/>
        </w:rPr>
        <w:t xml:space="preserve"> wrote the following</w:t>
      </w:r>
      <w:r w:rsidRPr="00F23E6D">
        <w:rPr>
          <w:rFonts w:ascii="Times New Roman" w:hAnsi="Times New Roman" w:cs="Times New Roman"/>
        </w:rPr>
        <w:t xml:space="preserve"> about using technology possibilities curves in the industrial sector module of NEMS</w:t>
      </w:r>
      <w:r w:rsidR="0089538B" w:rsidRPr="00F23E6D">
        <w:rPr>
          <w:rFonts w:ascii="Times New Roman" w:hAnsi="Times New Roman" w:cs="Times New Roman"/>
        </w:rPr>
        <w:t>‬</w:t>
      </w:r>
      <w:r w:rsidR="0089538B" w:rsidRPr="00F23E6D">
        <w:rPr>
          <w:rFonts w:ascii="Times New Roman" w:hAnsi="Times New Roman" w:cs="Times New Roman"/>
        </w:rPr>
        <w:t>‬</w:t>
      </w:r>
      <w:r w:rsidR="00014C6C" w:rsidRPr="00F23E6D">
        <w:rPr>
          <w:rFonts w:ascii="Times New Roman" w:hAnsi="Times New Roman" w:cs="Times New Roman"/>
        </w:rPr>
        <w:t>:</w:t>
      </w:r>
      <w:r w:rsidR="003E109A" w:rsidRPr="00F23E6D">
        <w:rPr>
          <w:rFonts w:ascii="Times New Roman" w:hAnsi="Times New Roman" w:cs="Times New Roman"/>
        </w:rPr>
        <w:t xml:space="preserve"> </w:t>
      </w:r>
    </w:p>
    <w:p w14:paraId="39D1C302" w14:textId="6273CF4D" w:rsidR="0089538B" w:rsidRPr="00F23E6D" w:rsidRDefault="0089538B" w:rsidP="00A72615">
      <w:pPr>
        <w:pStyle w:val="TextBody"/>
        <w:spacing w:line="276" w:lineRule="auto"/>
        <w:rPr>
          <w:rFonts w:ascii="Times New Roman" w:hAnsi="Times New Roman" w:cs="Times New Roman"/>
        </w:rPr>
      </w:pPr>
      <w:r w:rsidRPr="00F23E6D">
        <w:rPr>
          <w:rFonts w:ascii="Times New Roman" w:hAnsi="Times New Roman" w:cs="Times New Roman"/>
        </w:rPr>
        <w:t>Based on a pre-determined assumption regarding the “relative energy intensity” (REI) of the equipment in the final projection year (2040) compared to the base year (2010) the TPC can be constructed</w:t>
      </w:r>
      <w:r w:rsidR="003E109A" w:rsidRPr="00F23E6D">
        <w:rPr>
          <w:rFonts w:ascii="Times New Roman" w:hAnsi="Times New Roman" w:cs="Times New Roman"/>
        </w:rPr>
        <w:t>, as follows</w:t>
      </w:r>
      <w:r w:rsidRPr="00F23E6D">
        <w:rPr>
          <w:rFonts w:ascii="Times New Roman" w:hAnsi="Times New Roman" w:cs="Times New Roman"/>
        </w:rPr>
        <w:t>:</w:t>
      </w:r>
    </w:p>
    <w:p w14:paraId="234D48CE" w14:textId="77777777" w:rsidR="0089538B" w:rsidRPr="00F23E6D" w:rsidRDefault="0089538B" w:rsidP="00A72615">
      <w:pPr>
        <w:spacing w:line="276" w:lineRule="auto"/>
        <w:rPr>
          <w:rFonts w:ascii="Times New Roman" w:hAnsi="Times New Roman" w:cs="Times New Roman"/>
        </w:rPr>
      </w:pPr>
      <w:proofErr w:type="gramStart"/>
      <w:r w:rsidRPr="00F23E6D">
        <w:rPr>
          <w:rFonts w:ascii="Times New Roman" w:hAnsi="Times New Roman" w:cs="Times New Roman"/>
        </w:rPr>
        <w:lastRenderedPageBreak/>
        <w:t>ENPINT(</w:t>
      </w:r>
      <w:proofErr w:type="gramEnd"/>
      <w:r w:rsidRPr="00F23E6D">
        <w:rPr>
          <w:rFonts w:ascii="Times New Roman" w:hAnsi="Times New Roman" w:cs="Times New Roman"/>
        </w:rPr>
        <w:t>2040) = ENPINT(2010) * (1 + TPC)^(2040 – 2010)</w:t>
      </w:r>
    </w:p>
    <w:p w14:paraId="72B2DB19" w14:textId="77777777" w:rsidR="0089538B" w:rsidRPr="00F23E6D" w:rsidRDefault="0089538B" w:rsidP="00A72615">
      <w:pPr>
        <w:spacing w:line="276" w:lineRule="auto"/>
        <w:rPr>
          <w:rFonts w:ascii="Times New Roman" w:hAnsi="Times New Roman" w:cs="Times New Roman"/>
        </w:rPr>
      </w:pPr>
      <w:proofErr w:type="gramStart"/>
      <w:r w:rsidRPr="00F23E6D">
        <w:rPr>
          <w:rFonts w:ascii="Times New Roman" w:hAnsi="Times New Roman" w:cs="Times New Roman"/>
        </w:rPr>
        <w:t>which</w:t>
      </w:r>
      <w:proofErr w:type="gramEnd"/>
      <w:r w:rsidRPr="00F23E6D">
        <w:rPr>
          <w:rFonts w:ascii="Times New Roman" w:hAnsi="Times New Roman" w:cs="Times New Roman"/>
        </w:rPr>
        <w:t xml:space="preserve"> means that TPC = [ENPINT(2040)/ENPINT(2010)]^[1/(2040 – 2010)] – 1</w:t>
      </w:r>
    </w:p>
    <w:p w14:paraId="6A148A2A" w14:textId="77777777" w:rsidR="0089538B" w:rsidRPr="00F23E6D" w:rsidRDefault="0089538B" w:rsidP="00A72615">
      <w:pPr>
        <w:spacing w:line="276" w:lineRule="auto"/>
        <w:rPr>
          <w:rFonts w:ascii="Times New Roman" w:hAnsi="Times New Roman" w:cs="Times New Roman"/>
        </w:rPr>
      </w:pPr>
      <w:proofErr w:type="gramStart"/>
      <w:r w:rsidRPr="00F23E6D">
        <w:rPr>
          <w:rFonts w:ascii="Times New Roman" w:hAnsi="Times New Roman" w:cs="Times New Roman"/>
        </w:rPr>
        <w:t>and</w:t>
      </w:r>
      <w:proofErr w:type="gramEnd"/>
      <w:r w:rsidRPr="00F23E6D">
        <w:rPr>
          <w:rFonts w:ascii="Times New Roman" w:hAnsi="Times New Roman" w:cs="Times New Roman"/>
        </w:rPr>
        <w:t xml:space="preserve"> the predetermined REI is just ENPINT(2040)/ENPINT(2010).</w:t>
      </w:r>
    </w:p>
    <w:p w14:paraId="37CF3ED8" w14:textId="0492281A" w:rsidR="0089538B" w:rsidRPr="00F23E6D" w:rsidRDefault="0089538B" w:rsidP="00A72615">
      <w:pPr>
        <w:spacing w:line="276" w:lineRule="auto"/>
        <w:rPr>
          <w:rFonts w:ascii="Times New Roman" w:hAnsi="Times New Roman" w:cs="Times New Roman"/>
        </w:rPr>
      </w:pPr>
      <w:r w:rsidRPr="00F23E6D">
        <w:rPr>
          <w:rFonts w:ascii="Times New Roman" w:hAnsi="Times New Roman" w:cs="Times New Roman"/>
        </w:rPr>
        <w:t xml:space="preserve">This REI (and therefore TPC) is different in general for both old and new equipment. Each year the TPCs are applied to the energy intensities (ENPINT) to get the next year’s TPC (note that the TPC is subject to some slight acceleration via fuel prices…see pp. 100 – 101 of </w:t>
      </w:r>
      <w:hyperlink r:id="rId23" w:history="1">
        <w:r w:rsidRPr="00F23E6D">
          <w:rPr>
            <w:rFonts w:ascii="Times New Roman" w:hAnsi="Times New Roman" w:cs="Times New Roman"/>
          </w:rPr>
          <w:t>http://www.eia.gov/forecasts/aeo/nems/documentation/industrial/pdf/m064(2013).pdf)</w:t>
        </w:r>
      </w:hyperlink>
      <w:r w:rsidRPr="00F23E6D">
        <w:rPr>
          <w:rFonts w:ascii="Times New Roman" w:hAnsi="Times New Roman" w:cs="Times New Roman"/>
        </w:rPr>
        <w:t xml:space="preserve">. In the </w:t>
      </w:r>
      <w:proofErr w:type="spellStart"/>
      <w:r w:rsidRPr="00F23E6D">
        <w:rPr>
          <w:rFonts w:ascii="Times New Roman" w:hAnsi="Times New Roman" w:cs="Times New Roman"/>
        </w:rPr>
        <w:t>ind.f</w:t>
      </w:r>
      <w:proofErr w:type="spellEnd"/>
      <w:r w:rsidRPr="00F23E6D">
        <w:rPr>
          <w:rFonts w:ascii="Times New Roman" w:hAnsi="Times New Roman" w:cs="Times New Roman"/>
        </w:rPr>
        <w:t xml:space="preserve"> code this operation is simply</w:t>
      </w:r>
      <w:r w:rsidR="003E109A" w:rsidRPr="00F23E6D">
        <w:rPr>
          <w:rFonts w:ascii="Times New Roman" w:hAnsi="Times New Roman" w:cs="Times New Roman"/>
        </w:rPr>
        <w:t>:</w:t>
      </w:r>
    </w:p>
    <w:p w14:paraId="24AAA702" w14:textId="77777777" w:rsidR="0089538B" w:rsidRPr="00F23E6D" w:rsidRDefault="0089538B" w:rsidP="00A72615">
      <w:pPr>
        <w:spacing w:line="276" w:lineRule="auto"/>
        <w:rPr>
          <w:rFonts w:ascii="Times New Roman" w:hAnsi="Times New Roman" w:cs="Times New Roman"/>
        </w:rPr>
      </w:pPr>
      <w:r w:rsidRPr="00F23E6D">
        <w:rPr>
          <w:rFonts w:ascii="Times New Roman" w:hAnsi="Times New Roman" w:cs="Times New Roman"/>
        </w:rPr>
        <w:t> </w:t>
      </w:r>
    </w:p>
    <w:p w14:paraId="41D5B697" w14:textId="77777777" w:rsidR="0089538B" w:rsidRPr="00F23E6D" w:rsidRDefault="0089538B" w:rsidP="00A72615">
      <w:pPr>
        <w:spacing w:line="276" w:lineRule="auto"/>
        <w:rPr>
          <w:rFonts w:ascii="Times New Roman" w:hAnsi="Times New Roman" w:cs="Times New Roman"/>
        </w:rPr>
      </w:pPr>
      <w:r w:rsidRPr="00F23E6D">
        <w:rPr>
          <w:rFonts w:ascii="Times New Roman" w:hAnsi="Times New Roman" w:cs="Times New Roman"/>
        </w:rPr>
        <w:t>        ENPINT(IV,IFUEL,ISTEP)=ENPINTLAG(IV,IFUEL,ISTEP)*(1.+TPCRate(iv))</w:t>
      </w:r>
    </w:p>
    <w:p w14:paraId="7F983C14" w14:textId="77777777" w:rsidR="0089538B" w:rsidRPr="00F23E6D" w:rsidRDefault="0089538B" w:rsidP="00A72615">
      <w:pPr>
        <w:spacing w:line="276" w:lineRule="auto"/>
        <w:rPr>
          <w:rFonts w:ascii="Times New Roman" w:hAnsi="Times New Roman" w:cs="Times New Roman"/>
        </w:rPr>
      </w:pPr>
      <w:proofErr w:type="gramStart"/>
      <w:r w:rsidRPr="00F23E6D">
        <w:rPr>
          <w:rFonts w:ascii="Times New Roman" w:hAnsi="Times New Roman" w:cs="Times New Roman"/>
        </w:rPr>
        <w:t>where</w:t>
      </w:r>
      <w:proofErr w:type="gramEnd"/>
      <w:r w:rsidRPr="00F23E6D">
        <w:rPr>
          <w:rFonts w:ascii="Times New Roman" w:hAnsi="Times New Roman" w:cs="Times New Roman"/>
        </w:rPr>
        <w:t xml:space="preserve"> iv = 1 for old (vintage) equipment and iv = 3 for new equipment.</w:t>
      </w:r>
    </w:p>
    <w:p w14:paraId="27A6E03D" w14:textId="77777777" w:rsidR="0089538B" w:rsidRPr="00F23E6D" w:rsidRDefault="0089538B" w:rsidP="00A72615">
      <w:pPr>
        <w:spacing w:line="276" w:lineRule="auto"/>
        <w:rPr>
          <w:rFonts w:ascii="Times New Roman" w:hAnsi="Times New Roman" w:cs="Times New Roman"/>
        </w:rPr>
      </w:pPr>
      <w:r w:rsidRPr="00F23E6D">
        <w:rPr>
          <w:rFonts w:ascii="Times New Roman" w:hAnsi="Times New Roman" w:cs="Times New Roman"/>
        </w:rPr>
        <w:t xml:space="preserve">Now in the itech.txt input file that you have, the first column of numbers is the vintage </w:t>
      </w:r>
      <w:proofErr w:type="gramStart"/>
      <w:r w:rsidRPr="00F23E6D">
        <w:rPr>
          <w:rFonts w:ascii="Times New Roman" w:hAnsi="Times New Roman" w:cs="Times New Roman"/>
        </w:rPr>
        <w:t>ENPINT(</w:t>
      </w:r>
      <w:proofErr w:type="gramEnd"/>
      <w:r w:rsidRPr="00F23E6D">
        <w:rPr>
          <w:rFonts w:ascii="Times New Roman" w:hAnsi="Times New Roman" w:cs="Times New Roman"/>
        </w:rPr>
        <w:t>2010) derived from MECS and other data sources, the second is vintage equipment ENPINT(2040) (assumes again a pre-determined REI), the third is the TPC derived as described above, the fourth is new equipment ENPINT(2010), the fifth is new equipment ENPINT(2040), and the last column is the derived TPC of the new equipment.</w:t>
      </w:r>
    </w:p>
    <w:p w14:paraId="2B2117CE" w14:textId="77777777" w:rsidR="0089538B" w:rsidRPr="00F23E6D" w:rsidRDefault="0089538B" w:rsidP="00A72615">
      <w:pPr>
        <w:spacing w:line="276" w:lineRule="auto"/>
        <w:rPr>
          <w:rFonts w:ascii="Times New Roman" w:hAnsi="Times New Roman" w:cs="Times New Roman"/>
        </w:rPr>
      </w:pPr>
      <w:r w:rsidRPr="00F23E6D">
        <w:rPr>
          <w:rFonts w:ascii="Times New Roman" w:hAnsi="Times New Roman" w:cs="Times New Roman"/>
        </w:rPr>
        <w:t>The bottom half of this file is set up the same way but used for the “</w:t>
      </w:r>
      <w:proofErr w:type="spellStart"/>
      <w:r w:rsidRPr="00F23E6D">
        <w:rPr>
          <w:rFonts w:ascii="Times New Roman" w:hAnsi="Times New Roman" w:cs="Times New Roman"/>
        </w:rPr>
        <w:t>hitech</w:t>
      </w:r>
      <w:proofErr w:type="spellEnd"/>
      <w:r w:rsidRPr="00F23E6D">
        <w:rPr>
          <w:rFonts w:ascii="Times New Roman" w:hAnsi="Times New Roman" w:cs="Times New Roman"/>
        </w:rPr>
        <w:t>” case.</w:t>
      </w:r>
    </w:p>
    <w:p w14:paraId="661BC165" w14:textId="3B9549DA" w:rsidR="0089538B" w:rsidRPr="00F23E6D" w:rsidRDefault="0089538B" w:rsidP="00A72615">
      <w:pPr>
        <w:spacing w:line="276" w:lineRule="auto"/>
        <w:rPr>
          <w:rFonts w:ascii="Times New Roman" w:hAnsi="Times New Roman" w:cs="Times New Roman"/>
        </w:rPr>
      </w:pPr>
      <w:r w:rsidRPr="00F23E6D">
        <w:rPr>
          <w:rFonts w:ascii="Times New Roman" w:hAnsi="Times New Roman" w:cs="Times New Roman"/>
        </w:rPr>
        <w:t>One caveat to the above discussion: for the new “process flow modules” (aluminum, glass, and cement) a technology choice algorithm, as opposed to the general TPC approach, is used. Also, in the new non-</w:t>
      </w:r>
      <w:proofErr w:type="spellStart"/>
      <w:r w:rsidRPr="00F23E6D">
        <w:rPr>
          <w:rFonts w:ascii="Times New Roman" w:hAnsi="Times New Roman" w:cs="Times New Roman"/>
        </w:rPr>
        <w:t>mfg</w:t>
      </w:r>
      <w:proofErr w:type="spellEnd"/>
      <w:r w:rsidRPr="00F23E6D">
        <w:rPr>
          <w:rFonts w:ascii="Times New Roman" w:hAnsi="Times New Roman" w:cs="Times New Roman"/>
        </w:rPr>
        <w:t xml:space="preserve"> modules, the TPC approach is used, but the TPCs are influenced by other NEMS model parameters such as buildings and h</w:t>
      </w:r>
      <w:r w:rsidR="003E109A" w:rsidRPr="00F23E6D">
        <w:rPr>
          <w:rFonts w:ascii="Times New Roman" w:hAnsi="Times New Roman" w:cs="Times New Roman"/>
        </w:rPr>
        <w:t>eavy truck efficiency evolution</w:t>
      </w:r>
      <w:r w:rsidRPr="00F23E6D">
        <w:rPr>
          <w:rFonts w:ascii="Times New Roman" w:hAnsi="Times New Roman" w:cs="Times New Roman"/>
        </w:rPr>
        <w:t>.</w:t>
      </w:r>
    </w:p>
    <w:p w14:paraId="18784CA9" w14:textId="77777777" w:rsidR="00014C6C" w:rsidRPr="00F23E6D" w:rsidRDefault="00014C6C" w:rsidP="00A72615">
      <w:pPr>
        <w:spacing w:line="276" w:lineRule="auto"/>
        <w:rPr>
          <w:rFonts w:ascii="Times New Roman" w:hAnsi="Times New Roman" w:cs="Times New Roman"/>
        </w:rPr>
      </w:pPr>
      <w:r w:rsidRPr="00F23E6D">
        <w:rPr>
          <w:rFonts w:ascii="Times New Roman" w:hAnsi="Times New Roman" w:cs="Times New Roman"/>
        </w:rPr>
        <w:t>Background details from Matt Cox:</w:t>
      </w:r>
    </w:p>
    <w:p w14:paraId="5669A295" w14:textId="77777777" w:rsidR="00014C6C" w:rsidRPr="00F23E6D" w:rsidRDefault="00014C6C" w:rsidP="00A72615">
      <w:pPr>
        <w:spacing w:line="276" w:lineRule="auto"/>
        <w:rPr>
          <w:rFonts w:ascii="Times New Roman" w:hAnsi="Times New Roman" w:cs="Times New Roman"/>
        </w:rPr>
      </w:pPr>
    </w:p>
    <w:p w14:paraId="71B2A491" w14:textId="5A219BFA"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WODSUPPN=$NEMS/rec/gja/aeo2014/sidecases/locstren/wodsupp.lcr_2014.txt</w:t>
      </w:r>
    </w:p>
    <w:p w14:paraId="6D60479C"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ab/>
        <w:t xml:space="preserve">Increases biomass supply for biomass CHP (this exact text needs to be added in the </w:t>
      </w:r>
      <w:proofErr w:type="spellStart"/>
      <w:r w:rsidRPr="00F23E6D">
        <w:rPr>
          <w:rFonts w:ascii="Times New Roman" w:hAnsi="Times New Roman" w:cs="Times New Roman"/>
        </w:rPr>
        <w:t>scedes</w:t>
      </w:r>
      <w:proofErr w:type="spellEnd"/>
      <w:r w:rsidRPr="00F23E6D">
        <w:rPr>
          <w:rFonts w:ascii="Times New Roman" w:hAnsi="Times New Roman" w:cs="Times New Roman"/>
        </w:rPr>
        <w:t xml:space="preserve"> replacing the WODSUPPN that currently exists in the reference </w:t>
      </w:r>
      <w:proofErr w:type="spellStart"/>
      <w:r w:rsidRPr="00F23E6D">
        <w:rPr>
          <w:rFonts w:ascii="Times New Roman" w:hAnsi="Times New Roman" w:cs="Times New Roman"/>
        </w:rPr>
        <w:t>scedes</w:t>
      </w:r>
      <w:proofErr w:type="spellEnd"/>
      <w:r w:rsidRPr="00F23E6D">
        <w:rPr>
          <w:rFonts w:ascii="Times New Roman" w:hAnsi="Times New Roman" w:cs="Times New Roman"/>
        </w:rPr>
        <w:t>)</w:t>
      </w:r>
    </w:p>
    <w:p w14:paraId="21A82309"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INDRUNN=$NEMS/input/indrun.v1.22.1.2.txt</w:t>
      </w:r>
    </w:p>
    <w:p w14:paraId="4A54D162"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ab/>
        <w:t xml:space="preserve">Tells the model to use the </w:t>
      </w:r>
      <w:proofErr w:type="spellStart"/>
      <w:r w:rsidRPr="00F23E6D">
        <w:rPr>
          <w:rFonts w:ascii="Times New Roman" w:hAnsi="Times New Roman" w:cs="Times New Roman"/>
        </w:rPr>
        <w:t>HighTech</w:t>
      </w:r>
      <w:proofErr w:type="spellEnd"/>
      <w:r w:rsidRPr="00F23E6D">
        <w:rPr>
          <w:rFonts w:ascii="Times New Roman" w:hAnsi="Times New Roman" w:cs="Times New Roman"/>
        </w:rPr>
        <w:t xml:space="preserve"> scenario</w:t>
      </w:r>
    </w:p>
    <w:p w14:paraId="32F17086"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INDCOGENN=$NEMS/mid/msi/aeo_2012/sidecases/no_sunset/indcogen.xml</w:t>
      </w:r>
    </w:p>
    <w:p w14:paraId="737688F0"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Fix </w:t>
      </w:r>
      <w:proofErr w:type="spellStart"/>
      <w:r w:rsidRPr="00F23E6D">
        <w:rPr>
          <w:rFonts w:ascii="Times New Roman" w:hAnsi="Times New Roman" w:cs="Times New Roman"/>
        </w:rPr>
        <w:t>Indcogen</w:t>
      </w:r>
      <w:proofErr w:type="spellEnd"/>
      <w:r w:rsidRPr="00F23E6D">
        <w:rPr>
          <w:rFonts w:ascii="Times New Roman" w:hAnsi="Times New Roman" w:cs="Times New Roman"/>
        </w:rPr>
        <w:t xml:space="preserve">, then rename the one called in your new </w:t>
      </w:r>
      <w:proofErr w:type="spellStart"/>
      <w:r w:rsidRPr="00F23E6D">
        <w:rPr>
          <w:rFonts w:ascii="Times New Roman" w:hAnsi="Times New Roman" w:cs="Times New Roman"/>
        </w:rPr>
        <w:t>scedes</w:t>
      </w:r>
      <w:proofErr w:type="spellEnd"/>
      <w:r w:rsidRPr="00F23E6D">
        <w:rPr>
          <w:rFonts w:ascii="Times New Roman" w:hAnsi="Times New Roman" w:cs="Times New Roman"/>
        </w:rPr>
        <w:t>.</w:t>
      </w:r>
    </w:p>
    <w:p w14:paraId="25704B3C"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Oddball thing in the high-tech case: you always buy a new efficient motor when making the choice between rewinding and replacing, regardless of payback.</w:t>
      </w:r>
    </w:p>
    <w:p w14:paraId="600313F0" w14:textId="77777777" w:rsidR="00720200" w:rsidRPr="00F23E6D" w:rsidRDefault="00720200" w:rsidP="00A72615">
      <w:pPr>
        <w:spacing w:line="276" w:lineRule="auto"/>
        <w:rPr>
          <w:rFonts w:ascii="Times New Roman" w:hAnsi="Times New Roman" w:cs="Times New Roman"/>
        </w:rPr>
      </w:pPr>
    </w:p>
    <w:p w14:paraId="7120C18A"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Super High efficiency case modeling</w:t>
      </w:r>
    </w:p>
    <w:p w14:paraId="10ADC5CB"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Modify </w:t>
      </w:r>
      <w:proofErr w:type="spellStart"/>
      <w:r w:rsidRPr="00F23E6D">
        <w:rPr>
          <w:rFonts w:ascii="Times New Roman" w:hAnsi="Times New Roman" w:cs="Times New Roman"/>
        </w:rPr>
        <w:t>iTech</w:t>
      </w:r>
      <w:proofErr w:type="spellEnd"/>
      <w:r w:rsidRPr="00F23E6D">
        <w:rPr>
          <w:rFonts w:ascii="Times New Roman" w:hAnsi="Times New Roman" w:cs="Times New Roman"/>
        </w:rPr>
        <w:t xml:space="preserve"> for bulk chemicals, pulp and paper, iron and steel, and cement applications, based on new TPCs you just calculated from Nat’l Academies/the Bridge</w:t>
      </w:r>
    </w:p>
    <w:p w14:paraId="7589BD8E"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Leave the wood supply as it was in the </w:t>
      </w:r>
      <w:proofErr w:type="spellStart"/>
      <w:r w:rsidRPr="00F23E6D">
        <w:rPr>
          <w:rFonts w:ascii="Times New Roman" w:hAnsi="Times New Roman" w:cs="Times New Roman"/>
        </w:rPr>
        <w:t>indsc</w:t>
      </w:r>
      <w:proofErr w:type="spellEnd"/>
      <w:r w:rsidRPr="00F23E6D">
        <w:rPr>
          <w:rFonts w:ascii="Times New Roman" w:hAnsi="Times New Roman" w:cs="Times New Roman"/>
        </w:rPr>
        <w:t xml:space="preserve"> run; same for </w:t>
      </w:r>
      <w:proofErr w:type="spellStart"/>
      <w:r w:rsidRPr="00F23E6D">
        <w:rPr>
          <w:rFonts w:ascii="Times New Roman" w:hAnsi="Times New Roman" w:cs="Times New Roman"/>
        </w:rPr>
        <w:t>indcogen</w:t>
      </w:r>
      <w:proofErr w:type="spellEnd"/>
    </w:p>
    <w:p w14:paraId="4039F55C"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Old (existing) equipment is assumed to achieve 80% of the % change, which is then divided as an annual improvement. New equipment, matching other assumptions in </w:t>
      </w:r>
      <w:proofErr w:type="spellStart"/>
      <w:r w:rsidRPr="00F23E6D">
        <w:rPr>
          <w:rFonts w:ascii="Times New Roman" w:hAnsi="Times New Roman" w:cs="Times New Roman"/>
        </w:rPr>
        <w:t>ITech</w:t>
      </w:r>
      <w:proofErr w:type="spellEnd"/>
      <w:r w:rsidRPr="00F23E6D">
        <w:rPr>
          <w:rFonts w:ascii="Times New Roman" w:hAnsi="Times New Roman" w:cs="Times New Roman"/>
        </w:rPr>
        <w:t xml:space="preserve"> is modeled as achieving 50% better TPCs than the existing equipment. A High and Low case were developed, based on the highest and lowest economic potentials reported in Brown, Cox and Cortes 2010.</w:t>
      </w:r>
    </w:p>
    <w:p w14:paraId="107F69F9" w14:textId="77777777" w:rsidR="00720200" w:rsidRPr="00F23E6D" w:rsidRDefault="00720200" w:rsidP="00A72615">
      <w:pPr>
        <w:spacing w:line="276" w:lineRule="auto"/>
        <w:rPr>
          <w:rFonts w:ascii="Times New Roman" w:hAnsi="Times New Roman" w:cs="Times New Roman"/>
        </w:rPr>
      </w:pPr>
    </w:p>
    <w:p w14:paraId="70ABCBF7" w14:textId="660A1B39"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See the clustered directories at M:\graf2000\wcox6\IndEff.txt. </w:t>
      </w:r>
    </w:p>
    <w:p w14:paraId="09BCAE08" w14:textId="77777777" w:rsidR="00720200" w:rsidRPr="00F23E6D" w:rsidRDefault="00720200" w:rsidP="00A72615">
      <w:pPr>
        <w:spacing w:line="276" w:lineRule="auto"/>
        <w:rPr>
          <w:rFonts w:ascii="Times New Roman" w:hAnsi="Times New Roman" w:cs="Times New Roman"/>
        </w:rPr>
      </w:pPr>
    </w:p>
    <w:p w14:paraId="266D2094"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The directories are:</w:t>
      </w:r>
    </w:p>
    <w:p w14:paraId="4387A608"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M:\n14\2014 AEO Side Cases\2014 Reference Case\ref2014.0707a.RAN</w:t>
      </w:r>
    </w:p>
    <w:p w14:paraId="45F959B2"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M:\n14\2014 AEO Side Cases\25$ Carbon Tax Side Case\wc6co2fee25.a.0717a.RAN</w:t>
      </w:r>
    </w:p>
    <w:p w14:paraId="09F2E4DF"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M:\nemshome\wc6\wriindrun\indsc.r\d072314a\indsc.r.0723a.RAN</w:t>
      </w:r>
    </w:p>
    <w:p w14:paraId="4643055F"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M:\nemshome\wc6\indhech.d\d080314a\indhech.d.0803a.RAN</w:t>
      </w:r>
    </w:p>
    <w:p w14:paraId="4CBF5EE7" w14:textId="1431D67F" w:rsidR="00833D77" w:rsidRPr="00F23E6D" w:rsidRDefault="00720200" w:rsidP="00A72615">
      <w:pPr>
        <w:pStyle w:val="TextBody"/>
        <w:spacing w:line="276" w:lineRule="auto"/>
        <w:rPr>
          <w:rFonts w:ascii="Times New Roman" w:hAnsi="Times New Roman" w:cs="Times New Roman"/>
        </w:rPr>
      </w:pPr>
      <w:r w:rsidRPr="00F23E6D">
        <w:rPr>
          <w:rFonts w:ascii="Times New Roman" w:hAnsi="Times New Roman" w:cs="Times New Roman"/>
        </w:rPr>
        <w:t>M:\nemshome\wc6\indhecl.d\d080414a\indhecl.d.0804a.RAN</w:t>
      </w:r>
    </w:p>
    <w:p w14:paraId="37B8386B"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The following files produce the most ambitious case of industrial energy that we modeled for Duke-WRI. </w:t>
      </w:r>
    </w:p>
    <w:p w14:paraId="31592E6C" w14:textId="77777777" w:rsidR="00720200" w:rsidRPr="00F23E6D" w:rsidRDefault="00720200" w:rsidP="00A72615">
      <w:pPr>
        <w:spacing w:line="276" w:lineRule="auto"/>
        <w:rPr>
          <w:rFonts w:ascii="Times New Roman" w:hAnsi="Times New Roman" w:cs="Times New Roman"/>
        </w:rPr>
      </w:pPr>
    </w:p>
    <w:p w14:paraId="4556BF00"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In your </w:t>
      </w:r>
      <w:proofErr w:type="spellStart"/>
      <w:r w:rsidRPr="00F23E6D">
        <w:rPr>
          <w:rFonts w:ascii="Times New Roman" w:hAnsi="Times New Roman" w:cs="Times New Roman"/>
        </w:rPr>
        <w:t>scedes</w:t>
      </w:r>
      <w:proofErr w:type="spellEnd"/>
      <w:r w:rsidRPr="00F23E6D">
        <w:rPr>
          <w:rFonts w:ascii="Times New Roman" w:hAnsi="Times New Roman" w:cs="Times New Roman"/>
        </w:rPr>
        <w:t>, you will need to use:</w:t>
      </w:r>
    </w:p>
    <w:p w14:paraId="2BEA2DB4"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FILE: </w:t>
      </w:r>
      <w:proofErr w:type="spellStart"/>
      <w:r w:rsidRPr="00F23E6D">
        <w:rPr>
          <w:rFonts w:ascii="Times New Roman" w:hAnsi="Times New Roman" w:cs="Times New Roman"/>
        </w:rPr>
        <w:t>itech</w:t>
      </w:r>
      <w:proofErr w:type="spellEnd"/>
      <w:r w:rsidRPr="00F23E6D">
        <w:rPr>
          <w:rFonts w:ascii="Times New Roman" w:hAnsi="Times New Roman" w:cs="Times New Roman"/>
        </w:rPr>
        <w:t>: itechhechigh.txt</w:t>
      </w:r>
    </w:p>
    <w:p w14:paraId="51E82FE6"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WHAT IT DOES: This file improves the technology possibility curves in five major energy consuming industries to levels consistent with studies of the economic potential in industry.</w:t>
      </w:r>
    </w:p>
    <w:p w14:paraId="53827EC5" w14:textId="77777777" w:rsidR="00720200" w:rsidRPr="00F23E6D" w:rsidRDefault="00720200" w:rsidP="00A72615">
      <w:pPr>
        <w:spacing w:line="276" w:lineRule="auto"/>
        <w:rPr>
          <w:rFonts w:ascii="Times New Roman" w:hAnsi="Times New Roman" w:cs="Times New Roman"/>
        </w:rPr>
      </w:pPr>
    </w:p>
    <w:p w14:paraId="50461AD7"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FILE: </w:t>
      </w:r>
      <w:proofErr w:type="spellStart"/>
      <w:r w:rsidRPr="00F23E6D">
        <w:rPr>
          <w:rFonts w:ascii="Times New Roman" w:hAnsi="Times New Roman" w:cs="Times New Roman"/>
        </w:rPr>
        <w:t>indcogen</w:t>
      </w:r>
      <w:proofErr w:type="spellEnd"/>
      <w:r w:rsidRPr="00F23E6D">
        <w:rPr>
          <w:rFonts w:ascii="Times New Roman" w:hAnsi="Times New Roman" w:cs="Times New Roman"/>
        </w:rPr>
        <w:t>: indcogen_indsc.xml</w:t>
      </w:r>
    </w:p>
    <w:p w14:paraId="2C808AB1" w14:textId="77777777" w:rsidR="00720200" w:rsidRPr="00F23E6D" w:rsidRDefault="00720200" w:rsidP="00A72615">
      <w:pPr>
        <w:spacing w:line="276" w:lineRule="auto"/>
        <w:rPr>
          <w:rFonts w:ascii="Times New Roman" w:hAnsi="Times New Roman" w:cs="Times New Roman"/>
        </w:rPr>
      </w:pPr>
      <w:r w:rsidRPr="00F23E6D">
        <w:rPr>
          <w:rFonts w:ascii="Times New Roman" w:hAnsi="Times New Roman" w:cs="Times New Roman"/>
        </w:rPr>
        <w:t xml:space="preserve">WHAT IT DOES: This file extends the CHP tax credits through 2040. It also contains the information used when the </w:t>
      </w:r>
      <w:proofErr w:type="spellStart"/>
      <w:r w:rsidRPr="00F23E6D">
        <w:rPr>
          <w:rFonts w:ascii="Times New Roman" w:hAnsi="Times New Roman" w:cs="Times New Roman"/>
        </w:rPr>
        <w:t>hightech</w:t>
      </w:r>
      <w:proofErr w:type="spellEnd"/>
      <w:r w:rsidRPr="00F23E6D">
        <w:rPr>
          <w:rFonts w:ascii="Times New Roman" w:hAnsi="Times New Roman" w:cs="Times New Roman"/>
        </w:rPr>
        <w:t xml:space="preserve"> flag is switched on, which increases the speed of cost declines for CHP systems.</w:t>
      </w:r>
    </w:p>
    <w:sectPr w:rsidR="00720200" w:rsidRPr="00F23E6D">
      <w:headerReference w:type="default" r:id="rId24"/>
      <w:footerReference w:type="even" r:id="rId25"/>
      <w:footerReference w:type="default" r:id="rId26"/>
      <w:pgSz w:w="12240" w:h="15840"/>
      <w:pgMar w:top="1618" w:right="1134" w:bottom="1134" w:left="1134" w:header="1134"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F6A4" w14:textId="77777777" w:rsidR="00036D62" w:rsidRDefault="00036D62">
      <w:r>
        <w:separator/>
      </w:r>
    </w:p>
  </w:endnote>
  <w:endnote w:type="continuationSeparator" w:id="0">
    <w:p w14:paraId="3F88E82C" w14:textId="77777777" w:rsidR="00036D62" w:rsidRDefault="0003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ource Sans Pro">
    <w:altName w:val="Arial"/>
    <w:charset w:val="01"/>
    <w:family w:val="swiss"/>
    <w:pitch w:val="variable"/>
  </w:font>
  <w:font w:name="Liberation Sans">
    <w:altName w:val="Arial"/>
    <w:charset w:val="01"/>
    <w:family w:val="swiss"/>
    <w:pitch w:val="variable"/>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5A53" w14:textId="77777777" w:rsidR="00036D62" w:rsidRDefault="00036D62" w:rsidP="00205E6C">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016B5DDB" w14:textId="77777777" w:rsidR="00036D62" w:rsidRDefault="00036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672F" w14:textId="77777777" w:rsidR="00036D62" w:rsidRDefault="00036D62" w:rsidP="000352BD">
    <w:pPr>
      <w:pStyle w:val="Footer"/>
      <w:framePr w:h="367" w:hRule="exact" w:wrap="around" w:vAnchor="text" w:hAnchor="page" w:x="5995" w:y="-63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7260C9">
      <w:rPr>
        <w:rStyle w:val="PageNumber"/>
        <w:rFonts w:hint="eastAsia"/>
        <w:noProof/>
      </w:rPr>
      <w:t>6</w:t>
    </w:r>
    <w:r>
      <w:rPr>
        <w:rStyle w:val="PageNumber"/>
        <w:rFonts w:hint="eastAsia"/>
      </w:rPr>
      <w:fldChar w:fldCharType="end"/>
    </w:r>
  </w:p>
  <w:p w14:paraId="6A5D5882" w14:textId="77777777" w:rsidR="00036D62" w:rsidRDefault="00036D62" w:rsidP="00C7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A6E4" w14:textId="77777777" w:rsidR="00036D62" w:rsidRDefault="00036D62">
      <w:r>
        <w:separator/>
      </w:r>
    </w:p>
  </w:footnote>
  <w:footnote w:type="continuationSeparator" w:id="0">
    <w:p w14:paraId="78D3CDF4" w14:textId="77777777" w:rsidR="00036D62" w:rsidRDefault="00036D62">
      <w:r>
        <w:continuationSeparator/>
      </w:r>
    </w:p>
  </w:footnote>
  <w:footnote w:id="1">
    <w:p w14:paraId="6B7A4EF8" w14:textId="77777777" w:rsidR="00036D62" w:rsidRPr="00F95F87" w:rsidRDefault="00036D62" w:rsidP="00014C6C">
      <w:pPr>
        <w:pStyle w:val="FootnoteText"/>
        <w:rPr>
          <w:sz w:val="20"/>
          <w:szCs w:val="20"/>
        </w:rPr>
      </w:pPr>
      <w:r w:rsidRPr="00F95F87">
        <w:rPr>
          <w:rStyle w:val="FootnoteReference"/>
          <w:sz w:val="20"/>
          <w:szCs w:val="20"/>
        </w:rPr>
        <w:footnoteRef/>
      </w:r>
      <w:r>
        <w:t xml:space="preserve"> </w:t>
      </w:r>
      <w:r w:rsidRPr="00F95F87">
        <w:rPr>
          <w:sz w:val="20"/>
          <w:szCs w:val="20"/>
        </w:rPr>
        <w:t>NEMS reports changes in electricity use and fuel used in electricity generation as well as direct fuel use.</w:t>
      </w:r>
    </w:p>
  </w:footnote>
  <w:footnote w:id="2">
    <w:p w14:paraId="4E346A91" w14:textId="77777777" w:rsidR="00036D62" w:rsidRPr="00215A6C" w:rsidRDefault="00036D62" w:rsidP="00014C6C">
      <w:pPr>
        <w:pStyle w:val="FootnoteText"/>
        <w:rPr>
          <w:rFonts w:cs="Times New Roman"/>
          <w:sz w:val="20"/>
          <w:szCs w:val="20"/>
        </w:rPr>
      </w:pPr>
      <w:r w:rsidRPr="00215A6C">
        <w:rPr>
          <w:rStyle w:val="FootnoteReference"/>
          <w:rFonts w:cs="Times New Roman"/>
          <w:sz w:val="20"/>
          <w:szCs w:val="20"/>
        </w:rPr>
        <w:footnoteRef/>
      </w:r>
      <w:r w:rsidRPr="00215A6C">
        <w:rPr>
          <w:rFonts w:cs="Times New Roman"/>
          <w:sz w:val="20"/>
          <w:szCs w:val="20"/>
        </w:rPr>
        <w:t xml:space="preserve"> Even when the same NEMS code is used on two hardware systems with the </w:t>
      </w:r>
      <w:r w:rsidRPr="00215A6C">
        <w:rPr>
          <w:rFonts w:eastAsia="Times New Roman" w:cs="Times New Roman"/>
          <w:sz w:val="20"/>
          <w:szCs w:val="20"/>
        </w:rPr>
        <w:t xml:space="preserve">supporting software, the results could be distinct from those of the EIA. </w:t>
      </w:r>
      <w:r w:rsidRPr="00215A6C">
        <w:rPr>
          <w:rFonts w:cs="Times New Roman"/>
          <w:sz w:val="20"/>
          <w:szCs w:val="20"/>
        </w:rPr>
        <w:t>The fact that the GT-NEMS Reference case nearly duplicates the EIA’s Reference case indicates that the two models are essentially identical.</w:t>
      </w:r>
    </w:p>
  </w:footnote>
  <w:footnote w:id="3">
    <w:p w14:paraId="4C00A431" w14:textId="77777777" w:rsidR="00036D62" w:rsidRDefault="00036D62">
      <w:pPr>
        <w:pStyle w:val="Footnote"/>
      </w:pPr>
      <w:r>
        <w:footnoteRef/>
      </w:r>
      <w:r>
        <w:tab/>
        <w:t>NEMS scales pulp-and-paper-associated CHP with biomass supply.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D6BB" w14:textId="25D1A048" w:rsidR="00036D62" w:rsidRDefault="00036D62">
    <w:pPr>
      <w:pStyle w:val="Header"/>
    </w:pPr>
    <w:r>
      <w:rPr>
        <w:sz w:val="16"/>
        <w:szCs w:val="16"/>
      </w:rPr>
      <w:fldChar w:fldCharType="begin"/>
    </w:r>
    <w:r>
      <w:instrText>TITLE</w:instrText>
    </w:r>
    <w:r>
      <w:fldChar w:fldCharType="separate"/>
    </w:r>
    <w:r w:rsidR="004E756B">
      <w:rPr>
        <w:rFonts w:hint="eastAsia"/>
      </w:rPr>
      <w:t>White Paper: Analysis of Modeled Energy-Economic Policy Scenarios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E8"/>
    <w:multiLevelType w:val="hybridMultilevel"/>
    <w:tmpl w:val="F2E4BB12"/>
    <w:lvl w:ilvl="0" w:tplc="00030409">
      <w:start w:val="1"/>
      <w:numFmt w:val="bullet"/>
      <w:lvlText w:val="o"/>
      <w:lvlJc w:val="left"/>
      <w:pPr>
        <w:tabs>
          <w:tab w:val="num" w:pos="3060"/>
        </w:tabs>
        <w:ind w:left="306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C5E783B"/>
    <w:multiLevelType w:val="multilevel"/>
    <w:tmpl w:val="6610D2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DE91F84"/>
    <w:multiLevelType w:val="hybridMultilevel"/>
    <w:tmpl w:val="9BCE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B13D43"/>
    <w:multiLevelType w:val="multilevel"/>
    <w:tmpl w:val="F9C6C958"/>
    <w:lvl w:ilvl="0">
      <w:start w:val="1"/>
      <w:numFmt w:val="decimal"/>
      <w:pStyle w:val="Heading1"/>
      <w:lvlText w:val="%1."/>
      <w:lvlJc w:val="left"/>
      <w:pPr>
        <w:tabs>
          <w:tab w:val="num" w:pos="432"/>
        </w:tabs>
        <w:ind w:left="432" w:hanging="432"/>
      </w:pPr>
    </w:lvl>
    <w:lvl w:ilvl="1">
      <w:start w:val="1"/>
      <w:numFmt w:val="lowerLetter"/>
      <w:pStyle w:val="Heading2"/>
      <w:lvlText w:val="%1.%2."/>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0A0186E"/>
    <w:multiLevelType w:val="hybridMultilevel"/>
    <w:tmpl w:val="C9E860A6"/>
    <w:lvl w:ilvl="0" w:tplc="3A3A41B4">
      <w:start w:val="1"/>
      <w:numFmt w:val="bullet"/>
      <w:lvlText w:val="•"/>
      <w:lvlJc w:val="left"/>
      <w:pPr>
        <w:tabs>
          <w:tab w:val="num" w:pos="720"/>
        </w:tabs>
        <w:ind w:left="720" w:hanging="360"/>
      </w:pPr>
      <w:rPr>
        <w:rFonts w:ascii="Arial" w:hAnsi="Arial" w:hint="default"/>
      </w:rPr>
    </w:lvl>
    <w:lvl w:ilvl="1" w:tplc="0554BFA8" w:tentative="1">
      <w:start w:val="1"/>
      <w:numFmt w:val="bullet"/>
      <w:lvlText w:val="•"/>
      <w:lvlJc w:val="left"/>
      <w:pPr>
        <w:tabs>
          <w:tab w:val="num" w:pos="1440"/>
        </w:tabs>
        <w:ind w:left="1440" w:hanging="360"/>
      </w:pPr>
      <w:rPr>
        <w:rFonts w:ascii="Arial" w:hAnsi="Arial" w:hint="default"/>
      </w:rPr>
    </w:lvl>
    <w:lvl w:ilvl="2" w:tplc="1AFEE1F8" w:tentative="1">
      <w:start w:val="1"/>
      <w:numFmt w:val="bullet"/>
      <w:lvlText w:val="•"/>
      <w:lvlJc w:val="left"/>
      <w:pPr>
        <w:tabs>
          <w:tab w:val="num" w:pos="2160"/>
        </w:tabs>
        <w:ind w:left="2160" w:hanging="360"/>
      </w:pPr>
      <w:rPr>
        <w:rFonts w:ascii="Arial" w:hAnsi="Arial" w:hint="default"/>
      </w:rPr>
    </w:lvl>
    <w:lvl w:ilvl="3" w:tplc="9A4E2330" w:tentative="1">
      <w:start w:val="1"/>
      <w:numFmt w:val="bullet"/>
      <w:lvlText w:val="•"/>
      <w:lvlJc w:val="left"/>
      <w:pPr>
        <w:tabs>
          <w:tab w:val="num" w:pos="2880"/>
        </w:tabs>
        <w:ind w:left="2880" w:hanging="360"/>
      </w:pPr>
      <w:rPr>
        <w:rFonts w:ascii="Arial" w:hAnsi="Arial" w:hint="default"/>
      </w:rPr>
    </w:lvl>
    <w:lvl w:ilvl="4" w:tplc="38D23BF8" w:tentative="1">
      <w:start w:val="1"/>
      <w:numFmt w:val="bullet"/>
      <w:lvlText w:val="•"/>
      <w:lvlJc w:val="left"/>
      <w:pPr>
        <w:tabs>
          <w:tab w:val="num" w:pos="3600"/>
        </w:tabs>
        <w:ind w:left="3600" w:hanging="360"/>
      </w:pPr>
      <w:rPr>
        <w:rFonts w:ascii="Arial" w:hAnsi="Arial" w:hint="default"/>
      </w:rPr>
    </w:lvl>
    <w:lvl w:ilvl="5" w:tplc="0B5E557A" w:tentative="1">
      <w:start w:val="1"/>
      <w:numFmt w:val="bullet"/>
      <w:lvlText w:val="•"/>
      <w:lvlJc w:val="left"/>
      <w:pPr>
        <w:tabs>
          <w:tab w:val="num" w:pos="4320"/>
        </w:tabs>
        <w:ind w:left="4320" w:hanging="360"/>
      </w:pPr>
      <w:rPr>
        <w:rFonts w:ascii="Arial" w:hAnsi="Arial" w:hint="default"/>
      </w:rPr>
    </w:lvl>
    <w:lvl w:ilvl="6" w:tplc="B7048908" w:tentative="1">
      <w:start w:val="1"/>
      <w:numFmt w:val="bullet"/>
      <w:lvlText w:val="•"/>
      <w:lvlJc w:val="left"/>
      <w:pPr>
        <w:tabs>
          <w:tab w:val="num" w:pos="5040"/>
        </w:tabs>
        <w:ind w:left="5040" w:hanging="360"/>
      </w:pPr>
      <w:rPr>
        <w:rFonts w:ascii="Arial" w:hAnsi="Arial" w:hint="default"/>
      </w:rPr>
    </w:lvl>
    <w:lvl w:ilvl="7" w:tplc="9EFE2242" w:tentative="1">
      <w:start w:val="1"/>
      <w:numFmt w:val="bullet"/>
      <w:lvlText w:val="•"/>
      <w:lvlJc w:val="left"/>
      <w:pPr>
        <w:tabs>
          <w:tab w:val="num" w:pos="5760"/>
        </w:tabs>
        <w:ind w:left="5760" w:hanging="360"/>
      </w:pPr>
      <w:rPr>
        <w:rFonts w:ascii="Arial" w:hAnsi="Arial" w:hint="default"/>
      </w:rPr>
    </w:lvl>
    <w:lvl w:ilvl="8" w:tplc="99CCBAE0" w:tentative="1">
      <w:start w:val="1"/>
      <w:numFmt w:val="bullet"/>
      <w:lvlText w:val="•"/>
      <w:lvlJc w:val="left"/>
      <w:pPr>
        <w:tabs>
          <w:tab w:val="num" w:pos="6480"/>
        </w:tabs>
        <w:ind w:left="6480" w:hanging="360"/>
      </w:pPr>
      <w:rPr>
        <w:rFonts w:ascii="Arial" w:hAnsi="Arial" w:hint="default"/>
      </w:rPr>
    </w:lvl>
  </w:abstractNum>
  <w:abstractNum w:abstractNumId="5">
    <w:nsid w:val="66366857"/>
    <w:multiLevelType w:val="multilevel"/>
    <w:tmpl w:val="5BC038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AAE6CFB"/>
    <w:multiLevelType w:val="hybridMultilevel"/>
    <w:tmpl w:val="5FD838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056556C"/>
    <w:multiLevelType w:val="multilevel"/>
    <w:tmpl w:val="CDC825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77"/>
    <w:rsid w:val="00001F2A"/>
    <w:rsid w:val="00014C6C"/>
    <w:rsid w:val="00024C1E"/>
    <w:rsid w:val="000352BD"/>
    <w:rsid w:val="00036D62"/>
    <w:rsid w:val="00043136"/>
    <w:rsid w:val="000506F9"/>
    <w:rsid w:val="000538DD"/>
    <w:rsid w:val="00057733"/>
    <w:rsid w:val="00077DBF"/>
    <w:rsid w:val="00080751"/>
    <w:rsid w:val="000A21ED"/>
    <w:rsid w:val="000D784C"/>
    <w:rsid w:val="000E0E20"/>
    <w:rsid w:val="000E49E3"/>
    <w:rsid w:val="00133908"/>
    <w:rsid w:val="00135DAF"/>
    <w:rsid w:val="00151667"/>
    <w:rsid w:val="001723AF"/>
    <w:rsid w:val="001840B9"/>
    <w:rsid w:val="001A4225"/>
    <w:rsid w:val="001B1A00"/>
    <w:rsid w:val="001C273E"/>
    <w:rsid w:val="001E198D"/>
    <w:rsid w:val="001E4594"/>
    <w:rsid w:val="00205E6C"/>
    <w:rsid w:val="0022730E"/>
    <w:rsid w:val="00241E98"/>
    <w:rsid w:val="002A225E"/>
    <w:rsid w:val="002E5056"/>
    <w:rsid w:val="00344AFD"/>
    <w:rsid w:val="003514C1"/>
    <w:rsid w:val="00351802"/>
    <w:rsid w:val="0035518E"/>
    <w:rsid w:val="0035527A"/>
    <w:rsid w:val="003552D5"/>
    <w:rsid w:val="003827AD"/>
    <w:rsid w:val="003B5379"/>
    <w:rsid w:val="003E109A"/>
    <w:rsid w:val="003E6DA2"/>
    <w:rsid w:val="003F493B"/>
    <w:rsid w:val="00432E4F"/>
    <w:rsid w:val="0043644F"/>
    <w:rsid w:val="004440FE"/>
    <w:rsid w:val="00451458"/>
    <w:rsid w:val="00451461"/>
    <w:rsid w:val="004735FA"/>
    <w:rsid w:val="004A2AA6"/>
    <w:rsid w:val="004B3780"/>
    <w:rsid w:val="004C4D95"/>
    <w:rsid w:val="004D10D5"/>
    <w:rsid w:val="004D2322"/>
    <w:rsid w:val="004D5C7B"/>
    <w:rsid w:val="004E756B"/>
    <w:rsid w:val="005168F0"/>
    <w:rsid w:val="00523E82"/>
    <w:rsid w:val="00537B73"/>
    <w:rsid w:val="00545448"/>
    <w:rsid w:val="00550D05"/>
    <w:rsid w:val="00583C2D"/>
    <w:rsid w:val="005E27B5"/>
    <w:rsid w:val="00620B0A"/>
    <w:rsid w:val="00637488"/>
    <w:rsid w:val="00661E47"/>
    <w:rsid w:val="006A4C7B"/>
    <w:rsid w:val="006A59B7"/>
    <w:rsid w:val="006C5D61"/>
    <w:rsid w:val="006D0C4F"/>
    <w:rsid w:val="006E3D13"/>
    <w:rsid w:val="0071347D"/>
    <w:rsid w:val="00720200"/>
    <w:rsid w:val="00720321"/>
    <w:rsid w:val="007260C9"/>
    <w:rsid w:val="00733C86"/>
    <w:rsid w:val="0073773C"/>
    <w:rsid w:val="00743409"/>
    <w:rsid w:val="007454C0"/>
    <w:rsid w:val="00756E4C"/>
    <w:rsid w:val="00761AA5"/>
    <w:rsid w:val="00784E9C"/>
    <w:rsid w:val="007B73EA"/>
    <w:rsid w:val="007C7D18"/>
    <w:rsid w:val="007E736D"/>
    <w:rsid w:val="007E7FAB"/>
    <w:rsid w:val="008316E1"/>
    <w:rsid w:val="00833D77"/>
    <w:rsid w:val="00862F52"/>
    <w:rsid w:val="0089538B"/>
    <w:rsid w:val="008E79DF"/>
    <w:rsid w:val="009670EA"/>
    <w:rsid w:val="009A3F8C"/>
    <w:rsid w:val="009B6D4B"/>
    <w:rsid w:val="009F15DB"/>
    <w:rsid w:val="009F423D"/>
    <w:rsid w:val="00A025CA"/>
    <w:rsid w:val="00A12297"/>
    <w:rsid w:val="00A301B0"/>
    <w:rsid w:val="00A63FB2"/>
    <w:rsid w:val="00A652C0"/>
    <w:rsid w:val="00A72615"/>
    <w:rsid w:val="00AD2726"/>
    <w:rsid w:val="00B026C1"/>
    <w:rsid w:val="00B05B69"/>
    <w:rsid w:val="00B33BAC"/>
    <w:rsid w:val="00B70FF6"/>
    <w:rsid w:val="00B80DC2"/>
    <w:rsid w:val="00B9617C"/>
    <w:rsid w:val="00B9750B"/>
    <w:rsid w:val="00BD0D31"/>
    <w:rsid w:val="00BD1751"/>
    <w:rsid w:val="00BF343C"/>
    <w:rsid w:val="00C21690"/>
    <w:rsid w:val="00C278E1"/>
    <w:rsid w:val="00C34AFA"/>
    <w:rsid w:val="00C4403E"/>
    <w:rsid w:val="00C51A3B"/>
    <w:rsid w:val="00C548DE"/>
    <w:rsid w:val="00C72D8F"/>
    <w:rsid w:val="00C84F33"/>
    <w:rsid w:val="00CD1A9B"/>
    <w:rsid w:val="00CF75F2"/>
    <w:rsid w:val="00CF7BAC"/>
    <w:rsid w:val="00D12A8D"/>
    <w:rsid w:val="00D26EF8"/>
    <w:rsid w:val="00D81B5F"/>
    <w:rsid w:val="00DB1548"/>
    <w:rsid w:val="00E00849"/>
    <w:rsid w:val="00ED1783"/>
    <w:rsid w:val="00F23D0C"/>
    <w:rsid w:val="00F23E6D"/>
    <w:rsid w:val="00F641D6"/>
    <w:rsid w:val="00F96559"/>
    <w:rsid w:val="00FB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B042B"/>
  <w15:docId w15:val="{C7790FF9-22C0-4D20-A2BA-DD32DD95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Source Sans Pro" w:hAnsi="Source Sans Pro"/>
    </w:rPr>
  </w:style>
  <w:style w:type="paragraph" w:styleId="Heading1">
    <w:name w:val="heading 1"/>
    <w:basedOn w:val="Heading"/>
    <w:next w:val="TextBody"/>
    <w:pPr>
      <w:numPr>
        <w:numId w:val="1"/>
      </w:numPr>
      <w:shd w:val="clear" w:color="auto" w:fill="FFFFFF"/>
      <w:outlineLvl w:val="0"/>
    </w:pPr>
    <w:rPr>
      <w:rFonts w:ascii="Source Sans Pro" w:hAnsi="Source Sans Pro"/>
      <w:b/>
      <w:bCs/>
      <w:szCs w:val="36"/>
    </w:rPr>
  </w:style>
  <w:style w:type="paragraph" w:styleId="Heading2">
    <w:name w:val="heading 2"/>
    <w:basedOn w:val="Heading1"/>
    <w:next w:val="TextBody"/>
    <w:pPr>
      <w:numPr>
        <w:ilvl w:val="1"/>
      </w:numPr>
      <w:spacing w:before="200"/>
      <w:outlineLvl w:val="1"/>
    </w:pPr>
    <w:rPr>
      <w:szCs w:val="42"/>
    </w:rPr>
  </w:style>
  <w:style w:type="paragraph" w:styleId="Heading3">
    <w:name w:val="heading 3"/>
    <w:basedOn w:val="Heading"/>
    <w:next w:val="TextBody"/>
    <w:pPr>
      <w:numPr>
        <w:ilvl w:val="2"/>
        <w:numId w:val="1"/>
      </w:numPr>
      <w:spacing w:before="140"/>
      <w:outlineLvl w:val="2"/>
    </w:pPr>
    <w:rPr>
      <w:b/>
      <w:bCs/>
      <w:color w:val="808080"/>
    </w:rPr>
  </w:style>
  <w:style w:type="paragraph" w:styleId="Heading4">
    <w:name w:val="heading 4"/>
    <w:basedOn w:val="Heading"/>
    <w:next w:val="TextBody"/>
    <w:pPr>
      <w:numPr>
        <w:ilvl w:val="3"/>
        <w:numId w:val="1"/>
      </w:numPr>
      <w:spacing w:before="120"/>
      <w:outlineLvl w:val="3"/>
    </w:pPr>
    <w:rPr>
      <w:b/>
      <w:bCs/>
      <w:i/>
      <w:iCs/>
      <w:color w:val="80808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ing">
    <w:name w:val="Line Numbering"/>
  </w:style>
  <w:style w:type="character" w:customStyle="1" w:styleId="Bullets">
    <w:name w:val="Bullets"/>
    <w:rPr>
      <w:rFonts w:ascii="OpenSymbol" w:eastAsia="OpenSymbol" w:hAnsi="OpenSymbol" w:cs="OpenSymbol"/>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styleId="Header">
    <w:name w:val="header"/>
    <w:basedOn w:val="Normal"/>
    <w:pPr>
      <w:suppressLineNumbers/>
      <w:tabs>
        <w:tab w:val="center" w:pos="4986"/>
        <w:tab w:val="right" w:pos="9972"/>
      </w:tabs>
    </w:pPr>
  </w:style>
  <w:style w:type="paragraph" w:customStyle="1" w:styleId="Footnote">
    <w:name w:val="Footnote"/>
    <w:basedOn w:val="Normal"/>
    <w:pPr>
      <w:suppressLineNumbers/>
      <w:ind w:left="339" w:hanging="339"/>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AD2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93B"/>
    <w:rPr>
      <w:rFonts w:ascii="Lucida Grande" w:hAnsi="Lucida Grande" w:cs="Lucida Grande"/>
      <w:sz w:val="18"/>
      <w:szCs w:val="18"/>
    </w:rPr>
  </w:style>
  <w:style w:type="paragraph" w:styleId="FootnoteText">
    <w:name w:val="footnote text"/>
    <w:aliases w:val="Char2 Char Char Char,Char2 Char Char,Char2 Char, Char2 Char Char Char, Char2 Char Char, Char2 Char"/>
    <w:basedOn w:val="Normal"/>
    <w:link w:val="FootnoteTextChar"/>
    <w:uiPriority w:val="99"/>
    <w:unhideWhenUsed/>
    <w:rsid w:val="00014C6C"/>
    <w:pPr>
      <w:widowControl/>
      <w:suppressAutoHyphens w:val="0"/>
    </w:pPr>
    <w:rPr>
      <w:rFonts w:asciiTheme="minorHAnsi" w:eastAsiaTheme="minorHAnsi" w:hAnsiTheme="minorHAnsi" w:cstheme="minorBidi"/>
      <w:lang w:eastAsia="en-US" w:bidi="ar-SA"/>
    </w:rPr>
  </w:style>
  <w:style w:type="character" w:customStyle="1" w:styleId="FootnoteTextChar">
    <w:name w:val="Footnote Text Char"/>
    <w:aliases w:val="Char2 Char Char Char Char,Char2 Char Char Char1,Char2 Char Char1, Char2 Char Char Char Char, Char2 Char Char Char1, Char2 Char Char1"/>
    <w:basedOn w:val="DefaultParagraphFont"/>
    <w:link w:val="FootnoteText"/>
    <w:uiPriority w:val="99"/>
    <w:rsid w:val="00014C6C"/>
    <w:rPr>
      <w:rFonts w:asciiTheme="minorHAnsi" w:eastAsiaTheme="minorHAnsi" w:hAnsiTheme="minorHAnsi" w:cstheme="minorBidi"/>
      <w:lang w:eastAsia="en-US" w:bidi="ar-SA"/>
    </w:rPr>
  </w:style>
  <w:style w:type="character" w:styleId="FootnoteReference">
    <w:name w:val="footnote reference"/>
    <w:aliases w:val="Footnote anchor,fr,o,FR,(NECG) Footnote Reference"/>
    <w:basedOn w:val="DefaultParagraphFont"/>
    <w:uiPriority w:val="99"/>
    <w:unhideWhenUsed/>
    <w:rsid w:val="00014C6C"/>
    <w:rPr>
      <w:vertAlign w:val="superscript"/>
    </w:rPr>
  </w:style>
  <w:style w:type="paragraph" w:styleId="ListParagraph">
    <w:name w:val="List Paragraph"/>
    <w:basedOn w:val="Normal"/>
    <w:uiPriority w:val="34"/>
    <w:qFormat/>
    <w:rsid w:val="00133908"/>
    <w:pPr>
      <w:ind w:left="720"/>
      <w:contextualSpacing/>
    </w:pPr>
  </w:style>
  <w:style w:type="paragraph" w:styleId="Footer">
    <w:name w:val="footer"/>
    <w:basedOn w:val="Normal"/>
    <w:link w:val="FooterChar"/>
    <w:uiPriority w:val="99"/>
    <w:unhideWhenUsed/>
    <w:rsid w:val="00C72D8F"/>
    <w:pPr>
      <w:tabs>
        <w:tab w:val="center" w:pos="4320"/>
        <w:tab w:val="right" w:pos="8640"/>
      </w:tabs>
    </w:pPr>
  </w:style>
  <w:style w:type="character" w:customStyle="1" w:styleId="FooterChar">
    <w:name w:val="Footer Char"/>
    <w:basedOn w:val="DefaultParagraphFont"/>
    <w:link w:val="Footer"/>
    <w:uiPriority w:val="99"/>
    <w:rsid w:val="00C72D8F"/>
    <w:rPr>
      <w:rFonts w:ascii="Source Sans Pro" w:hAnsi="Source Sans Pro"/>
    </w:rPr>
  </w:style>
  <w:style w:type="character" w:styleId="PageNumber">
    <w:name w:val="page number"/>
    <w:basedOn w:val="DefaultParagraphFont"/>
    <w:uiPriority w:val="99"/>
    <w:semiHidden/>
    <w:unhideWhenUsed/>
    <w:rsid w:val="00C72D8F"/>
  </w:style>
  <w:style w:type="table" w:styleId="PlainTable2">
    <w:name w:val="Plain Table 2"/>
    <w:basedOn w:val="TableNormal"/>
    <w:uiPriority w:val="99"/>
    <w:rsid w:val="007E736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2540">
      <w:bodyDiv w:val="1"/>
      <w:marLeft w:val="0"/>
      <w:marRight w:val="0"/>
      <w:marTop w:val="0"/>
      <w:marBottom w:val="0"/>
      <w:divBdr>
        <w:top w:val="none" w:sz="0" w:space="0" w:color="auto"/>
        <w:left w:val="none" w:sz="0" w:space="0" w:color="auto"/>
        <w:bottom w:val="none" w:sz="0" w:space="0" w:color="auto"/>
        <w:right w:val="none" w:sz="0" w:space="0" w:color="auto"/>
      </w:divBdr>
    </w:div>
    <w:div w:id="605625559">
      <w:bodyDiv w:val="1"/>
      <w:marLeft w:val="0"/>
      <w:marRight w:val="0"/>
      <w:marTop w:val="0"/>
      <w:marBottom w:val="0"/>
      <w:divBdr>
        <w:top w:val="none" w:sz="0" w:space="0" w:color="auto"/>
        <w:left w:val="none" w:sz="0" w:space="0" w:color="auto"/>
        <w:bottom w:val="none" w:sz="0" w:space="0" w:color="auto"/>
        <w:right w:val="none" w:sz="0" w:space="0" w:color="auto"/>
      </w:divBdr>
    </w:div>
    <w:div w:id="768084135">
      <w:bodyDiv w:val="1"/>
      <w:marLeft w:val="0"/>
      <w:marRight w:val="0"/>
      <w:marTop w:val="0"/>
      <w:marBottom w:val="0"/>
      <w:divBdr>
        <w:top w:val="none" w:sz="0" w:space="0" w:color="auto"/>
        <w:left w:val="none" w:sz="0" w:space="0" w:color="auto"/>
        <w:bottom w:val="none" w:sz="0" w:space="0" w:color="auto"/>
        <w:right w:val="none" w:sz="0" w:space="0" w:color="auto"/>
      </w:divBdr>
    </w:div>
    <w:div w:id="1393963648">
      <w:bodyDiv w:val="1"/>
      <w:marLeft w:val="0"/>
      <w:marRight w:val="0"/>
      <w:marTop w:val="0"/>
      <w:marBottom w:val="0"/>
      <w:divBdr>
        <w:top w:val="none" w:sz="0" w:space="0" w:color="auto"/>
        <w:left w:val="none" w:sz="0" w:space="0" w:color="auto"/>
        <w:bottom w:val="none" w:sz="0" w:space="0" w:color="auto"/>
        <w:right w:val="none" w:sz="0" w:space="0" w:color="auto"/>
      </w:divBdr>
    </w:div>
    <w:div w:id="1446846317">
      <w:bodyDiv w:val="1"/>
      <w:marLeft w:val="0"/>
      <w:marRight w:val="0"/>
      <w:marTop w:val="0"/>
      <w:marBottom w:val="0"/>
      <w:divBdr>
        <w:top w:val="none" w:sz="0" w:space="0" w:color="auto"/>
        <w:left w:val="none" w:sz="0" w:space="0" w:color="auto"/>
        <w:bottom w:val="none" w:sz="0" w:space="0" w:color="auto"/>
        <w:right w:val="none" w:sz="0" w:space="0" w:color="auto"/>
      </w:divBdr>
    </w:div>
    <w:div w:id="1518957637">
      <w:bodyDiv w:val="1"/>
      <w:marLeft w:val="0"/>
      <w:marRight w:val="0"/>
      <w:marTop w:val="0"/>
      <w:marBottom w:val="0"/>
      <w:divBdr>
        <w:top w:val="none" w:sz="0" w:space="0" w:color="auto"/>
        <w:left w:val="none" w:sz="0" w:space="0" w:color="auto"/>
        <w:bottom w:val="none" w:sz="0" w:space="0" w:color="auto"/>
        <w:right w:val="none" w:sz="0" w:space="0" w:color="auto"/>
      </w:divBdr>
    </w:div>
    <w:div w:id="1526557536">
      <w:bodyDiv w:val="1"/>
      <w:marLeft w:val="0"/>
      <w:marRight w:val="0"/>
      <w:marTop w:val="0"/>
      <w:marBottom w:val="0"/>
      <w:divBdr>
        <w:top w:val="none" w:sz="0" w:space="0" w:color="auto"/>
        <w:left w:val="none" w:sz="0" w:space="0" w:color="auto"/>
        <w:bottom w:val="none" w:sz="0" w:space="0" w:color="auto"/>
        <w:right w:val="none" w:sz="0" w:space="0" w:color="auto"/>
      </w:divBdr>
    </w:div>
    <w:div w:id="1775856713">
      <w:bodyDiv w:val="1"/>
      <w:marLeft w:val="0"/>
      <w:marRight w:val="0"/>
      <w:marTop w:val="0"/>
      <w:marBottom w:val="0"/>
      <w:divBdr>
        <w:top w:val="none" w:sz="0" w:space="0" w:color="auto"/>
        <w:left w:val="none" w:sz="0" w:space="0" w:color="auto"/>
        <w:bottom w:val="none" w:sz="0" w:space="0" w:color="auto"/>
        <w:right w:val="none" w:sz="0" w:space="0" w:color="auto"/>
      </w:divBdr>
      <w:divsChild>
        <w:div w:id="1982272743">
          <w:marLeft w:val="360"/>
          <w:marRight w:val="0"/>
          <w:marTop w:val="200"/>
          <w:marBottom w:val="0"/>
          <w:divBdr>
            <w:top w:val="none" w:sz="0" w:space="0" w:color="auto"/>
            <w:left w:val="none" w:sz="0" w:space="0" w:color="auto"/>
            <w:bottom w:val="none" w:sz="0" w:space="0" w:color="auto"/>
            <w:right w:val="none" w:sz="0" w:space="0" w:color="auto"/>
          </w:divBdr>
        </w:div>
      </w:divsChild>
    </w:div>
    <w:div w:id="184820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yperlink" Target="http://www.eia.gov/forecasts/aeo/nems/documentation/industrial/pdf/m064(2013).pdf)"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wony:Documents:BrownGrp:Duke%20WRI%20project:HighEEresults_11/28/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lex\Dropbox\Summer%202014\WRI_graphic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lex\Dropbox\Summer%202014\WRI_graphic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lex\Dropbox\Summer%202014\WRI_graphic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lex\Dropbox\Summer%202014\WRI_graphic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lex\Dropbox\Summer%202014\WRI_graphic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lex\Dropbox\Summer%202014\WRI_graph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wony:Documents:BrownGrp:Duke%20WRI%20project:HighEEresults_11/28/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wony:Documents:BrownGrp:Duke%20WRI%20project:HighEEresults_11/28/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wony:Downloads:HighEEresults_11_28_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wony:Downloads:HighEEresults_11_28_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brown9:Projects:Duke-WRI%20Project:Duke-WRI%20Final%20White%20Paper:Duke-WRI_integrated_HE_Scenari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brown9:Projects:Duke-WRI%20Project:Duke-WRI%20Final%20White%20Paper:Duke-WRI_integrated_HE_Scenari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brown9:Projects:Duke-WRI%20Project:Duke-WRI%20Final%20White%20Paper:Duke-WRI_integrated_HE_Scenari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lex\Dropbox\Summer%202014\WRI_graph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Residential</a:t>
            </a:r>
          </a:p>
        </c:rich>
      </c:tx>
      <c:layout/>
      <c:overlay val="0"/>
    </c:title>
    <c:autoTitleDeleted val="0"/>
    <c:plotArea>
      <c:layout/>
      <c:lineChart>
        <c:grouping val="standard"/>
        <c:varyColors val="0"/>
        <c:ser>
          <c:idx val="0"/>
          <c:order val="0"/>
          <c:tx>
            <c:strRef>
              <c:f>Electricity!$B$7</c:f>
              <c:strCache>
                <c:ptCount val="1"/>
                <c:pt idx="0">
                  <c:v>Reference</c:v>
                </c:pt>
              </c:strCache>
            </c:strRef>
          </c:tx>
          <c:spPr>
            <a:ln>
              <a:solidFill>
                <a:schemeClr val="tx1"/>
              </a:solidFill>
            </a:ln>
          </c:spPr>
          <c:marker>
            <c:symbol val="none"/>
          </c:marker>
          <c:cat>
            <c:numRef>
              <c:f>Electricity!$A$8:$A$43</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Electricity!$B$8:$B$43</c:f>
              <c:numCache>
                <c:formatCode>General</c:formatCode>
                <c:ptCount val="36"/>
                <c:pt idx="0">
                  <c:v>4.6376799999999987</c:v>
                </c:pt>
                <c:pt idx="1">
                  <c:v>4.6113900000000001</c:v>
                </c:pt>
                <c:pt idx="2">
                  <c:v>4.7503299999999999</c:v>
                </c:pt>
                <c:pt idx="3">
                  <c:v>4.7084900000000003</c:v>
                </c:pt>
                <c:pt idx="4">
                  <c:v>4.6555999999999917</c:v>
                </c:pt>
                <c:pt idx="5">
                  <c:v>4.9327699999999997</c:v>
                </c:pt>
                <c:pt idx="6">
                  <c:v>4.8545899999999857</c:v>
                </c:pt>
                <c:pt idx="7">
                  <c:v>4.6901199999999896</c:v>
                </c:pt>
                <c:pt idx="8">
                  <c:v>4.70709</c:v>
                </c:pt>
                <c:pt idx="9">
                  <c:v>4.6852099999999997</c:v>
                </c:pt>
                <c:pt idx="10">
                  <c:v>4.7443999999999997</c:v>
                </c:pt>
                <c:pt idx="11">
                  <c:v>4.7628999999999966</c:v>
                </c:pt>
                <c:pt idx="12">
                  <c:v>4.7955699999999997</c:v>
                </c:pt>
                <c:pt idx="13">
                  <c:v>4.8255099999999898</c:v>
                </c:pt>
                <c:pt idx="14">
                  <c:v>4.8569199999999917</c:v>
                </c:pt>
                <c:pt idx="15">
                  <c:v>4.8372999999999999</c:v>
                </c:pt>
                <c:pt idx="16">
                  <c:v>4.8588199999999917</c:v>
                </c:pt>
                <c:pt idx="17">
                  <c:v>4.8923999999999976</c:v>
                </c:pt>
                <c:pt idx="18">
                  <c:v>4.9299400000000002</c:v>
                </c:pt>
                <c:pt idx="19">
                  <c:v>4.9673999999999996</c:v>
                </c:pt>
                <c:pt idx="20">
                  <c:v>5.0006399999999998</c:v>
                </c:pt>
                <c:pt idx="21">
                  <c:v>5.0398199999999997</c:v>
                </c:pt>
                <c:pt idx="22">
                  <c:v>5.0808999999999997</c:v>
                </c:pt>
                <c:pt idx="23">
                  <c:v>5.1248599999999884</c:v>
                </c:pt>
                <c:pt idx="24">
                  <c:v>5.16934</c:v>
                </c:pt>
                <c:pt idx="25">
                  <c:v>5.2033699999999996</c:v>
                </c:pt>
                <c:pt idx="26">
                  <c:v>5.2366099999999998</c:v>
                </c:pt>
                <c:pt idx="27">
                  <c:v>5.2742699999999996</c:v>
                </c:pt>
                <c:pt idx="28">
                  <c:v>5.3166799999999999</c:v>
                </c:pt>
                <c:pt idx="29">
                  <c:v>5.3597999999999999</c:v>
                </c:pt>
                <c:pt idx="30">
                  <c:v>5.4048099999999986</c:v>
                </c:pt>
                <c:pt idx="31">
                  <c:v>5.4470299999999998</c:v>
                </c:pt>
                <c:pt idx="32">
                  <c:v>5.4930300000000001</c:v>
                </c:pt>
                <c:pt idx="33">
                  <c:v>5.5443199999999946</c:v>
                </c:pt>
                <c:pt idx="34">
                  <c:v>5.5955699999999986</c:v>
                </c:pt>
                <c:pt idx="35">
                  <c:v>5.6466099999999999</c:v>
                </c:pt>
              </c:numCache>
            </c:numRef>
          </c:val>
          <c:smooth val="0"/>
        </c:ser>
        <c:ser>
          <c:idx val="1"/>
          <c:order val="1"/>
          <c:tx>
            <c:strRef>
              <c:f>Electricity!$C$7</c:f>
              <c:strCache>
                <c:ptCount val="1"/>
                <c:pt idx="0">
                  <c:v>Integrated High Efficiency</c:v>
                </c:pt>
              </c:strCache>
            </c:strRef>
          </c:tx>
          <c:spPr>
            <a:ln>
              <a:solidFill>
                <a:schemeClr val="accent3"/>
              </a:solidFill>
            </a:ln>
          </c:spPr>
          <c:marker>
            <c:symbol val="none"/>
          </c:marker>
          <c:cat>
            <c:numRef>
              <c:f>Electricity!$A$8:$A$43</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Electricity!$C$8:$C$43</c:f>
              <c:numCache>
                <c:formatCode>General</c:formatCode>
                <c:ptCount val="36"/>
                <c:pt idx="0">
                  <c:v>4.6376799999999987</c:v>
                </c:pt>
                <c:pt idx="1">
                  <c:v>4.6113900000000001</c:v>
                </c:pt>
                <c:pt idx="2">
                  <c:v>4.7503299999999999</c:v>
                </c:pt>
                <c:pt idx="3">
                  <c:v>4.7084900000000003</c:v>
                </c:pt>
                <c:pt idx="4">
                  <c:v>4.6555999999999917</c:v>
                </c:pt>
                <c:pt idx="5">
                  <c:v>4.9327699999999997</c:v>
                </c:pt>
                <c:pt idx="6">
                  <c:v>4.8545899999999857</c:v>
                </c:pt>
                <c:pt idx="7">
                  <c:v>4.6901199999999896</c:v>
                </c:pt>
                <c:pt idx="8">
                  <c:v>4.70709</c:v>
                </c:pt>
                <c:pt idx="9">
                  <c:v>4.4630999999999998</c:v>
                </c:pt>
                <c:pt idx="10">
                  <c:v>4.3921699999999966</c:v>
                </c:pt>
                <c:pt idx="11">
                  <c:v>4.1741799999999936</c:v>
                </c:pt>
                <c:pt idx="12">
                  <c:v>4.09077</c:v>
                </c:pt>
                <c:pt idx="13">
                  <c:v>4.0474199999999936</c:v>
                </c:pt>
                <c:pt idx="14">
                  <c:v>4.0223000000000004</c:v>
                </c:pt>
                <c:pt idx="15">
                  <c:v>3.9958</c:v>
                </c:pt>
                <c:pt idx="16">
                  <c:v>3.9730500000000002</c:v>
                </c:pt>
                <c:pt idx="17">
                  <c:v>3.9577300000000002</c:v>
                </c:pt>
                <c:pt idx="18">
                  <c:v>3.944809999999999</c:v>
                </c:pt>
                <c:pt idx="19">
                  <c:v>3.9356900000000001</c:v>
                </c:pt>
                <c:pt idx="20">
                  <c:v>3.93208</c:v>
                </c:pt>
                <c:pt idx="21">
                  <c:v>3.9337399999999998</c:v>
                </c:pt>
                <c:pt idx="22">
                  <c:v>3.93879</c:v>
                </c:pt>
                <c:pt idx="23">
                  <c:v>3.94679</c:v>
                </c:pt>
                <c:pt idx="24">
                  <c:v>3.957889999999999</c:v>
                </c:pt>
                <c:pt idx="25">
                  <c:v>3.9748700000000001</c:v>
                </c:pt>
                <c:pt idx="26">
                  <c:v>3.99844</c:v>
                </c:pt>
                <c:pt idx="27">
                  <c:v>4.0243499999999974</c:v>
                </c:pt>
                <c:pt idx="28">
                  <c:v>4.0498900000000004</c:v>
                </c:pt>
                <c:pt idx="29">
                  <c:v>4.0787100000000001</c:v>
                </c:pt>
                <c:pt idx="30">
                  <c:v>4.1116200000000003</c:v>
                </c:pt>
                <c:pt idx="31">
                  <c:v>4.1485499999999984</c:v>
                </c:pt>
                <c:pt idx="32">
                  <c:v>4.1873499999999986</c:v>
                </c:pt>
                <c:pt idx="33">
                  <c:v>4.2250799999999966</c:v>
                </c:pt>
                <c:pt idx="34">
                  <c:v>4.2616399999999999</c:v>
                </c:pt>
                <c:pt idx="35">
                  <c:v>4.30321</c:v>
                </c:pt>
              </c:numCache>
            </c:numRef>
          </c:val>
          <c:smooth val="0"/>
        </c:ser>
        <c:dLbls>
          <c:showLegendKey val="0"/>
          <c:showVal val="0"/>
          <c:showCatName val="0"/>
          <c:showSerName val="0"/>
          <c:showPercent val="0"/>
          <c:showBubbleSize val="0"/>
        </c:dLbls>
        <c:smooth val="0"/>
        <c:axId val="200161104"/>
        <c:axId val="200161664"/>
      </c:lineChart>
      <c:catAx>
        <c:axId val="200161104"/>
        <c:scaling>
          <c:orientation val="minMax"/>
        </c:scaling>
        <c:delete val="0"/>
        <c:axPos val="b"/>
        <c:numFmt formatCode="General" sourceLinked="1"/>
        <c:majorTickMark val="out"/>
        <c:minorTickMark val="none"/>
        <c:tickLblPos val="nextTo"/>
        <c:crossAx val="200161664"/>
        <c:crosses val="autoZero"/>
        <c:auto val="1"/>
        <c:lblAlgn val="ctr"/>
        <c:lblOffset val="100"/>
        <c:noMultiLvlLbl val="0"/>
      </c:catAx>
      <c:valAx>
        <c:axId val="200161664"/>
        <c:scaling>
          <c:orientation val="minMax"/>
          <c:min val="3"/>
        </c:scaling>
        <c:delete val="0"/>
        <c:axPos val="l"/>
        <c:majorGridlines/>
        <c:title>
          <c:tx>
            <c:rich>
              <a:bodyPr rot="-5400000" vert="horz"/>
              <a:lstStyle/>
              <a:p>
                <a:pPr>
                  <a:defRPr/>
                </a:pPr>
                <a:r>
                  <a:rPr lang="en-US"/>
                  <a:t>Quad Btu</a:t>
                </a:r>
              </a:p>
            </c:rich>
          </c:tx>
          <c:layout/>
          <c:overlay val="0"/>
        </c:title>
        <c:numFmt formatCode="General" sourceLinked="1"/>
        <c:majorTickMark val="out"/>
        <c:minorTickMark val="none"/>
        <c:tickLblPos val="nextTo"/>
        <c:crossAx val="200161104"/>
        <c:crosses val="autoZero"/>
        <c:crossBetween val="between"/>
      </c:valAx>
    </c:plotArea>
    <c:legend>
      <c:legendPos val="l"/>
      <c:layout>
        <c:manualLayout>
          <c:xMode val="edge"/>
          <c:yMode val="edge"/>
          <c:x val="0.125"/>
          <c:y val="0.21358413531641901"/>
          <c:w val="0.37335608048993901"/>
          <c:h val="0.168202099737533"/>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Electricity from Coal as a share of Total Electricity</a:t>
            </a:r>
          </a:p>
        </c:rich>
      </c:tx>
      <c:layout/>
      <c:overlay val="0"/>
      <c:spPr>
        <a:noFill/>
        <a:ln>
          <a:noFill/>
        </a:ln>
        <a:effectLst/>
      </c:spPr>
    </c:title>
    <c:autoTitleDeleted val="0"/>
    <c:plotArea>
      <c:layout>
        <c:manualLayout>
          <c:layoutTarget val="inner"/>
          <c:xMode val="edge"/>
          <c:yMode val="edge"/>
          <c:x val="0.12133925566996399"/>
          <c:y val="0.36879581151832502"/>
          <c:w val="0.80062588330304896"/>
          <c:h val="0.38706187904522399"/>
        </c:manualLayout>
      </c:layout>
      <c:lineChart>
        <c:grouping val="standard"/>
        <c:varyColors val="0"/>
        <c:ser>
          <c:idx val="0"/>
          <c:order val="0"/>
          <c:tx>
            <c:strRef>
              <c:f>CoalPowerTotal!$E$6</c:f>
              <c:strCache>
                <c:ptCount val="1"/>
                <c:pt idx="0">
                  <c:v>Reference</c:v>
                </c:pt>
              </c:strCache>
            </c:strRef>
          </c:tx>
          <c:spPr>
            <a:ln w="28575" cap="rnd">
              <a:solidFill>
                <a:schemeClr val="accent1"/>
              </a:solidFill>
              <a:round/>
            </a:ln>
            <a:effectLst/>
          </c:spPr>
          <c:marker>
            <c:symbol val="none"/>
          </c:marker>
          <c:cat>
            <c:numRef>
              <c:f>CoalPowerTotal!$D$7:$D$42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CoalPowerTotal!$E$7:$E$42</c:f>
              <c:numCache>
                <c:formatCode>0%</c:formatCode>
                <c:ptCount val="36"/>
                <c:pt idx="0">
                  <c:v>0.50112832085342096</c:v>
                </c:pt>
                <c:pt idx="1">
                  <c:v>0.49434609087187897</c:v>
                </c:pt>
                <c:pt idx="2">
                  <c:v>0.48946317103620501</c:v>
                </c:pt>
                <c:pt idx="3">
                  <c:v>0.48610971313537998</c:v>
                </c:pt>
                <c:pt idx="4">
                  <c:v>0.45008936080740097</c:v>
                </c:pt>
                <c:pt idx="5">
                  <c:v>0.45341927686574701</c:v>
                </c:pt>
                <c:pt idx="6">
                  <c:v>0.428745185485506</c:v>
                </c:pt>
                <c:pt idx="7">
                  <c:v>0.38006478815302303</c:v>
                </c:pt>
                <c:pt idx="8">
                  <c:v>0.40693496227093101</c:v>
                </c:pt>
                <c:pt idx="9">
                  <c:v>0.413749839969274</c:v>
                </c:pt>
                <c:pt idx="10">
                  <c:v>0.39998995000125598</c:v>
                </c:pt>
                <c:pt idx="11">
                  <c:v>0.37388113361929998</c:v>
                </c:pt>
                <c:pt idx="12">
                  <c:v>0.38060540857743602</c:v>
                </c:pt>
                <c:pt idx="13">
                  <c:v>0.38570323454044397</c:v>
                </c:pt>
                <c:pt idx="14">
                  <c:v>0.38657901681821399</c:v>
                </c:pt>
                <c:pt idx="15">
                  <c:v>0.38323424778549797</c:v>
                </c:pt>
                <c:pt idx="16">
                  <c:v>0.38336411422076999</c:v>
                </c:pt>
                <c:pt idx="17">
                  <c:v>0.38142491847889798</c:v>
                </c:pt>
                <c:pt idx="18">
                  <c:v>0.37870838943312102</c:v>
                </c:pt>
                <c:pt idx="19">
                  <c:v>0.37870666451954299</c:v>
                </c:pt>
                <c:pt idx="20">
                  <c:v>0.37660292976771798</c:v>
                </c:pt>
                <c:pt idx="21">
                  <c:v>0.37412579498902299</c:v>
                </c:pt>
                <c:pt idx="22">
                  <c:v>0.37133236053429097</c:v>
                </c:pt>
                <c:pt idx="23">
                  <c:v>0.36801408325162699</c:v>
                </c:pt>
                <c:pt idx="24">
                  <c:v>0.36627520496343902</c:v>
                </c:pt>
                <c:pt idx="25">
                  <c:v>0.36451584468244502</c:v>
                </c:pt>
                <c:pt idx="26">
                  <c:v>0.36270078118142701</c:v>
                </c:pt>
                <c:pt idx="27">
                  <c:v>0.36014146309515999</c:v>
                </c:pt>
                <c:pt idx="28">
                  <c:v>0.35732413613587599</c:v>
                </c:pt>
                <c:pt idx="29">
                  <c:v>0.35487415962765001</c:v>
                </c:pt>
                <c:pt idx="30">
                  <c:v>0.35169092465753399</c:v>
                </c:pt>
                <c:pt idx="31">
                  <c:v>0.349628778692535</c:v>
                </c:pt>
                <c:pt idx="32">
                  <c:v>0.34665821982895201</c:v>
                </c:pt>
                <c:pt idx="33">
                  <c:v>0.34365902188710901</c:v>
                </c:pt>
                <c:pt idx="34">
                  <c:v>0.34110041780124301</c:v>
                </c:pt>
                <c:pt idx="35">
                  <c:v>0.338281443554381</c:v>
                </c:pt>
              </c:numCache>
            </c:numRef>
          </c:val>
          <c:smooth val="0"/>
        </c:ser>
        <c:ser>
          <c:idx val="1"/>
          <c:order val="1"/>
          <c:tx>
            <c:strRef>
              <c:f>CoalPowerTotal!$F$6</c:f>
              <c:strCache>
                <c:ptCount val="1"/>
                <c:pt idx="0">
                  <c:v>Integrated High Efficiency</c:v>
                </c:pt>
              </c:strCache>
            </c:strRef>
          </c:tx>
          <c:spPr>
            <a:ln w="28575" cap="rnd">
              <a:solidFill>
                <a:schemeClr val="accent2"/>
              </a:solidFill>
              <a:round/>
            </a:ln>
            <a:effectLst/>
          </c:spPr>
          <c:marker>
            <c:symbol val="none"/>
          </c:marker>
          <c:cat>
            <c:numRef>
              <c:f>CoalPowerTotal!$D$7:$D$42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CoalPowerTotal!$F$7:$F$42</c:f>
              <c:numCache>
                <c:formatCode>0%</c:formatCode>
                <c:ptCount val="36"/>
                <c:pt idx="0">
                  <c:v>0.50112832085342096</c:v>
                </c:pt>
                <c:pt idx="1">
                  <c:v>0.49434609087187897</c:v>
                </c:pt>
                <c:pt idx="2">
                  <c:v>0.48946317103620501</c:v>
                </c:pt>
                <c:pt idx="3">
                  <c:v>0.48610971313537998</c:v>
                </c:pt>
                <c:pt idx="4">
                  <c:v>0.45008936080740097</c:v>
                </c:pt>
                <c:pt idx="5">
                  <c:v>0.45341927686574701</c:v>
                </c:pt>
                <c:pt idx="6">
                  <c:v>0.428745185485506</c:v>
                </c:pt>
                <c:pt idx="7">
                  <c:v>0.38006478815302303</c:v>
                </c:pt>
                <c:pt idx="8">
                  <c:v>0.406416837782341</c:v>
                </c:pt>
                <c:pt idx="9">
                  <c:v>0.40997150252294201</c:v>
                </c:pt>
                <c:pt idx="10">
                  <c:v>0.39544874632228499</c:v>
                </c:pt>
                <c:pt idx="11">
                  <c:v>0.35924143191562102</c:v>
                </c:pt>
                <c:pt idx="12">
                  <c:v>0.36306318140023602</c:v>
                </c:pt>
                <c:pt idx="13">
                  <c:v>0.36519916142557601</c:v>
                </c:pt>
                <c:pt idx="14">
                  <c:v>0.36622117400419302</c:v>
                </c:pt>
                <c:pt idx="15">
                  <c:v>0.366464678261326</c:v>
                </c:pt>
                <c:pt idx="16">
                  <c:v>0.364663625399822</c:v>
                </c:pt>
                <c:pt idx="17">
                  <c:v>0.36399801093983097</c:v>
                </c:pt>
                <c:pt idx="18">
                  <c:v>0.36536654135338298</c:v>
                </c:pt>
                <c:pt idx="19">
                  <c:v>0.36560343705246701</c:v>
                </c:pt>
                <c:pt idx="20">
                  <c:v>0.36550595933629298</c:v>
                </c:pt>
                <c:pt idx="21">
                  <c:v>0.36444409905709302</c:v>
                </c:pt>
                <c:pt idx="22">
                  <c:v>0.36343902628110702</c:v>
                </c:pt>
                <c:pt idx="23">
                  <c:v>0.36275243081525799</c:v>
                </c:pt>
                <c:pt idx="24">
                  <c:v>0.362466805888571</c:v>
                </c:pt>
                <c:pt idx="25">
                  <c:v>0.36107969151670899</c:v>
                </c:pt>
                <c:pt idx="26">
                  <c:v>0.35993744231360902</c:v>
                </c:pt>
                <c:pt idx="27">
                  <c:v>0.35890088522744701</c:v>
                </c:pt>
                <c:pt idx="28">
                  <c:v>0.358108280742993</c:v>
                </c:pt>
                <c:pt idx="29">
                  <c:v>0.35624697890960899</c:v>
                </c:pt>
                <c:pt idx="30">
                  <c:v>0.35421308486935399</c:v>
                </c:pt>
                <c:pt idx="31">
                  <c:v>0.35194235904670701</c:v>
                </c:pt>
                <c:pt idx="32">
                  <c:v>0.34980331237002299</c:v>
                </c:pt>
                <c:pt idx="33">
                  <c:v>0.34784993144708998</c:v>
                </c:pt>
                <c:pt idx="34">
                  <c:v>0.34597626967184603</c:v>
                </c:pt>
                <c:pt idx="35">
                  <c:v>0.34377545730578402</c:v>
                </c:pt>
              </c:numCache>
            </c:numRef>
          </c:val>
          <c:smooth val="0"/>
        </c:ser>
        <c:dLbls>
          <c:showLegendKey val="0"/>
          <c:showVal val="0"/>
          <c:showCatName val="0"/>
          <c:showSerName val="0"/>
          <c:showPercent val="0"/>
          <c:showBubbleSize val="0"/>
        </c:dLbls>
        <c:smooth val="0"/>
        <c:axId val="270942176"/>
        <c:axId val="270942736"/>
      </c:lineChart>
      <c:catAx>
        <c:axId val="27094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0942736"/>
        <c:crosses val="autoZero"/>
        <c:auto val="1"/>
        <c:lblAlgn val="ctr"/>
        <c:lblOffset val="100"/>
        <c:noMultiLvlLbl val="0"/>
      </c:catAx>
      <c:valAx>
        <c:axId val="270942736"/>
        <c:scaling>
          <c:orientation val="minMax"/>
          <c:min val="0.3"/>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0942176"/>
        <c:crosses val="autoZero"/>
        <c:crossBetween val="between"/>
      </c:valAx>
      <c:spPr>
        <a:noFill/>
        <a:ln>
          <a:noFill/>
        </a:ln>
        <a:effectLst/>
      </c:spPr>
    </c:plotArea>
    <c:legend>
      <c:legendPos val="r"/>
      <c:layout>
        <c:manualLayout>
          <c:xMode val="edge"/>
          <c:yMode val="edge"/>
          <c:x val="0.30398965990278398"/>
          <c:y val="0.27206711310618897"/>
          <c:w val="0.66062437059415902"/>
          <c:h val="0.340507070124087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Electricity from Natural Gas as</a:t>
            </a:r>
            <a:r>
              <a:rPr lang="en-US" b="1" baseline="0"/>
              <a:t> a share of Total Electricity</a:t>
            </a:r>
            <a:endParaRPr lang="en-US" b="1"/>
          </a:p>
        </c:rich>
      </c:tx>
      <c:layout/>
      <c:overlay val="0"/>
      <c:spPr>
        <a:noFill/>
        <a:ln>
          <a:noFill/>
        </a:ln>
        <a:effectLst/>
      </c:spPr>
    </c:title>
    <c:autoTitleDeleted val="0"/>
    <c:plotArea>
      <c:layout>
        <c:manualLayout>
          <c:layoutTarget val="inner"/>
          <c:xMode val="edge"/>
          <c:yMode val="edge"/>
          <c:x val="0.132520645285193"/>
          <c:y val="0.33226415094339601"/>
          <c:w val="0.80095416426605204"/>
          <c:h val="0.46559649383449703"/>
        </c:manualLayout>
      </c:layout>
      <c:lineChart>
        <c:grouping val="standard"/>
        <c:varyColors val="0"/>
        <c:ser>
          <c:idx val="0"/>
          <c:order val="0"/>
          <c:tx>
            <c:strRef>
              <c:f>NGPowerTotal!$E$6</c:f>
              <c:strCache>
                <c:ptCount val="1"/>
                <c:pt idx="0">
                  <c:v>Reference</c:v>
                </c:pt>
              </c:strCache>
            </c:strRef>
          </c:tx>
          <c:spPr>
            <a:ln w="28575" cap="rnd">
              <a:solidFill>
                <a:schemeClr val="accent1"/>
              </a:solidFill>
              <a:round/>
            </a:ln>
            <a:effectLst/>
          </c:spPr>
          <c:marker>
            <c:symbol val="none"/>
          </c:marker>
          <c:cat>
            <c:numRef>
              <c:f>NGPowerTotal!$D$7:$D$42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NGPowerTotal!$E$7:$E$42</c:f>
              <c:numCache>
                <c:formatCode>0%</c:formatCode>
                <c:ptCount val="36"/>
                <c:pt idx="0">
                  <c:v>0.142871833008514</c:v>
                </c:pt>
                <c:pt idx="1">
                  <c:v>0.159262945149407</c:v>
                </c:pt>
                <c:pt idx="2">
                  <c:v>0.17231785268414501</c:v>
                </c:pt>
                <c:pt idx="3">
                  <c:v>0.172638399597383</c:v>
                </c:pt>
                <c:pt idx="4">
                  <c:v>0.19047282380151401</c:v>
                </c:pt>
                <c:pt idx="5">
                  <c:v>0.19608142813979301</c:v>
                </c:pt>
                <c:pt idx="6">
                  <c:v>0.20372060612203499</c:v>
                </c:pt>
                <c:pt idx="7">
                  <c:v>0.25703388523241499</c:v>
                </c:pt>
                <c:pt idx="8">
                  <c:v>0.22909167907191599</c:v>
                </c:pt>
                <c:pt idx="9">
                  <c:v>0.218222250672129</c:v>
                </c:pt>
                <c:pt idx="10">
                  <c:v>0.224943594382051</c:v>
                </c:pt>
                <c:pt idx="11">
                  <c:v>0.24463712776772201</c:v>
                </c:pt>
                <c:pt idx="12">
                  <c:v>0.23729008753484301</c:v>
                </c:pt>
                <c:pt idx="13">
                  <c:v>0.235608954213605</c:v>
                </c:pt>
                <c:pt idx="14">
                  <c:v>0.23661788344809401</c:v>
                </c:pt>
                <c:pt idx="15">
                  <c:v>0.243249050927584</c:v>
                </c:pt>
                <c:pt idx="16">
                  <c:v>0.24383198370980699</c:v>
                </c:pt>
                <c:pt idx="17">
                  <c:v>0.24803528280198001</c:v>
                </c:pt>
                <c:pt idx="18">
                  <c:v>0.25228654997910799</c:v>
                </c:pt>
                <c:pt idx="19">
                  <c:v>0.25436517978329398</c:v>
                </c:pt>
                <c:pt idx="20">
                  <c:v>0.25756400310318101</c:v>
                </c:pt>
                <c:pt idx="21">
                  <c:v>0.26238598556005699</c:v>
                </c:pt>
                <c:pt idx="22">
                  <c:v>0.26703333707486798</c:v>
                </c:pt>
                <c:pt idx="23">
                  <c:v>0.27134771369997301</c:v>
                </c:pt>
                <c:pt idx="24">
                  <c:v>0.27338799025038801</c:v>
                </c:pt>
                <c:pt idx="25">
                  <c:v>0.275992771827758</c:v>
                </c:pt>
                <c:pt idx="26">
                  <c:v>0.27837268498200701</c:v>
                </c:pt>
                <c:pt idx="27">
                  <c:v>0.28168183902023702</c:v>
                </c:pt>
                <c:pt idx="28">
                  <c:v>0.28572048328669702</c:v>
                </c:pt>
                <c:pt idx="29">
                  <c:v>0.28915273228753702</c:v>
                </c:pt>
                <c:pt idx="30">
                  <c:v>0.29259417808219201</c:v>
                </c:pt>
                <c:pt idx="31">
                  <c:v>0.29380730529495602</c:v>
                </c:pt>
                <c:pt idx="32">
                  <c:v>0.29597719353816898</c:v>
                </c:pt>
                <c:pt idx="33">
                  <c:v>0.29728767410200002</c:v>
                </c:pt>
                <c:pt idx="34">
                  <c:v>0.29778211976968999</c:v>
                </c:pt>
                <c:pt idx="35">
                  <c:v>0.299735733751755</c:v>
                </c:pt>
              </c:numCache>
            </c:numRef>
          </c:val>
          <c:smooth val="0"/>
        </c:ser>
        <c:ser>
          <c:idx val="1"/>
          <c:order val="1"/>
          <c:tx>
            <c:strRef>
              <c:f>NGPowerTotal!$F$6</c:f>
              <c:strCache>
                <c:ptCount val="1"/>
                <c:pt idx="0">
                  <c:v>Integrated High Efficiency</c:v>
                </c:pt>
              </c:strCache>
            </c:strRef>
          </c:tx>
          <c:spPr>
            <a:ln w="28575" cap="rnd">
              <a:solidFill>
                <a:schemeClr val="accent2"/>
              </a:solidFill>
              <a:round/>
            </a:ln>
            <a:effectLst/>
          </c:spPr>
          <c:marker>
            <c:symbol val="none"/>
          </c:marker>
          <c:cat>
            <c:numRef>
              <c:f>NGPowerTotal!$D$7:$D$42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NGPowerTotal!$F$7:$F$42</c:f>
              <c:numCache>
                <c:formatCode>0%</c:formatCode>
                <c:ptCount val="36"/>
                <c:pt idx="0">
                  <c:v>0.142871833008514</c:v>
                </c:pt>
                <c:pt idx="1">
                  <c:v>0.159262945149407</c:v>
                </c:pt>
                <c:pt idx="2">
                  <c:v>0.17231785268414501</c:v>
                </c:pt>
                <c:pt idx="3">
                  <c:v>0.172638399597383</c:v>
                </c:pt>
                <c:pt idx="4">
                  <c:v>0.19047282380151401</c:v>
                </c:pt>
                <c:pt idx="5">
                  <c:v>0.19608142813979301</c:v>
                </c:pt>
                <c:pt idx="6">
                  <c:v>0.20372060612203499</c:v>
                </c:pt>
                <c:pt idx="7">
                  <c:v>0.25703388523241499</c:v>
                </c:pt>
                <c:pt idx="8">
                  <c:v>0.228960472279261</c:v>
                </c:pt>
                <c:pt idx="9">
                  <c:v>0.213831211273497</c:v>
                </c:pt>
                <c:pt idx="10">
                  <c:v>0.22256047074752</c:v>
                </c:pt>
                <c:pt idx="11">
                  <c:v>0.24812199163576101</c:v>
                </c:pt>
                <c:pt idx="12">
                  <c:v>0.238908971496125</c:v>
                </c:pt>
                <c:pt idx="13">
                  <c:v>0.23537526205450701</c:v>
                </c:pt>
                <c:pt idx="14">
                  <c:v>0.23095833333333299</c:v>
                </c:pt>
                <c:pt idx="15">
                  <c:v>0.23021431756774499</c:v>
                </c:pt>
                <c:pt idx="16">
                  <c:v>0.22910413717162201</c:v>
                </c:pt>
                <c:pt idx="17">
                  <c:v>0.229557957549269</c:v>
                </c:pt>
                <c:pt idx="18">
                  <c:v>0.22872624269005801</c:v>
                </c:pt>
                <c:pt idx="19">
                  <c:v>0.228665538341362</c:v>
                </c:pt>
                <c:pt idx="20">
                  <c:v>0.22947469554153399</c:v>
                </c:pt>
                <c:pt idx="21">
                  <c:v>0.23049580354367399</c:v>
                </c:pt>
                <c:pt idx="22">
                  <c:v>0.23114918469132001</c:v>
                </c:pt>
                <c:pt idx="23">
                  <c:v>0.23170582621927599</c:v>
                </c:pt>
                <c:pt idx="24">
                  <c:v>0.231625029004563</c:v>
                </c:pt>
                <c:pt idx="25">
                  <c:v>0.23360411311054</c:v>
                </c:pt>
                <c:pt idx="26">
                  <c:v>0.23516382935083599</c:v>
                </c:pt>
                <c:pt idx="27">
                  <c:v>0.23607941462416199</c:v>
                </c:pt>
                <c:pt idx="28">
                  <c:v>0.236453154142927</c:v>
                </c:pt>
                <c:pt idx="29">
                  <c:v>0.238775027348818</c:v>
                </c:pt>
                <c:pt idx="30">
                  <c:v>0.24181486732833701</c:v>
                </c:pt>
                <c:pt idx="31">
                  <c:v>0.24552098553937601</c:v>
                </c:pt>
                <c:pt idx="32">
                  <c:v>0.24924005913156799</c:v>
                </c:pt>
                <c:pt idx="33">
                  <c:v>0.25227471020815201</c:v>
                </c:pt>
                <c:pt idx="34">
                  <c:v>0.25470386734845901</c:v>
                </c:pt>
                <c:pt idx="35">
                  <c:v>0.25821422399960497</c:v>
                </c:pt>
              </c:numCache>
            </c:numRef>
          </c:val>
          <c:smooth val="0"/>
        </c:ser>
        <c:dLbls>
          <c:showLegendKey val="0"/>
          <c:showVal val="0"/>
          <c:showCatName val="0"/>
          <c:showSerName val="0"/>
          <c:showPercent val="0"/>
          <c:showBubbleSize val="0"/>
        </c:dLbls>
        <c:smooth val="0"/>
        <c:axId val="270945536"/>
        <c:axId val="271004656"/>
      </c:lineChart>
      <c:catAx>
        <c:axId val="27094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004656"/>
        <c:crosses val="autoZero"/>
        <c:auto val="1"/>
        <c:lblAlgn val="ctr"/>
        <c:lblOffset val="100"/>
        <c:noMultiLvlLbl val="0"/>
      </c:catAx>
      <c:valAx>
        <c:axId val="271004656"/>
        <c:scaling>
          <c:orientation val="minMax"/>
          <c:max val="0.4"/>
          <c:min val="0.1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945536"/>
        <c:crosses val="autoZero"/>
        <c:crossBetween val="between"/>
      </c:valAx>
      <c:spPr>
        <a:noFill/>
        <a:ln>
          <a:noFill/>
        </a:ln>
        <a:effectLst/>
      </c:spPr>
    </c:plotArea>
    <c:legend>
      <c:legendPos val="r"/>
      <c:layout>
        <c:manualLayout>
          <c:xMode val="edge"/>
          <c:yMode val="edge"/>
          <c:x val="8.7946354266692298E-2"/>
          <c:y val="0.23321844203436801"/>
          <c:w val="0.66815120670891803"/>
          <c:h val="0.306078343980586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Electricity from Renewable</a:t>
            </a:r>
            <a:r>
              <a:rPr lang="en-US" b="1" baseline="0"/>
              <a:t> Sources as a share of Total Electricity</a:t>
            </a:r>
            <a:endParaRPr lang="en-US" b="1"/>
          </a:p>
        </c:rich>
      </c:tx>
      <c:layout/>
      <c:overlay val="0"/>
      <c:spPr>
        <a:noFill/>
        <a:ln>
          <a:noFill/>
        </a:ln>
        <a:effectLst/>
      </c:spPr>
    </c:title>
    <c:autoTitleDeleted val="0"/>
    <c:plotArea>
      <c:layout>
        <c:manualLayout>
          <c:layoutTarget val="inner"/>
          <c:xMode val="edge"/>
          <c:yMode val="edge"/>
          <c:x val="0.14427533448562799"/>
          <c:y val="0.37079003678757"/>
          <c:w val="0.79545963766724304"/>
          <c:h val="0.441936143524228"/>
        </c:manualLayout>
      </c:layout>
      <c:lineChart>
        <c:grouping val="standard"/>
        <c:varyColors val="0"/>
        <c:ser>
          <c:idx val="0"/>
          <c:order val="0"/>
          <c:tx>
            <c:strRef>
              <c:f>RenPowerTotal!$E$6</c:f>
              <c:strCache>
                <c:ptCount val="1"/>
                <c:pt idx="0">
                  <c:v>Reference</c:v>
                </c:pt>
              </c:strCache>
            </c:strRef>
          </c:tx>
          <c:spPr>
            <a:ln w="28575" cap="rnd">
              <a:solidFill>
                <a:schemeClr val="accent1"/>
              </a:solidFill>
              <a:round/>
            </a:ln>
            <a:effectLst/>
          </c:spPr>
          <c:marker>
            <c:symbol val="none"/>
          </c:marker>
          <c:cat>
            <c:numRef>
              <c:f>RenPowerTotal!$D$7:$D$42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RenPowerTotal!$E$7:$E$42</c:f>
              <c:numCache>
                <c:formatCode>0%</c:formatCode>
                <c:ptCount val="36"/>
                <c:pt idx="0">
                  <c:v>8.2261001128320799E-2</c:v>
                </c:pt>
                <c:pt idx="1">
                  <c:v>8.9286993450675395E-2</c:v>
                </c:pt>
                <c:pt idx="2">
                  <c:v>7.8894631710362095E-2</c:v>
                </c:pt>
                <c:pt idx="3">
                  <c:v>8.7039255158530504E-2</c:v>
                </c:pt>
                <c:pt idx="4">
                  <c:v>0.100157958368377</c:v>
                </c:pt>
                <c:pt idx="5">
                  <c:v>9.8372947930305099E-2</c:v>
                </c:pt>
                <c:pt idx="6">
                  <c:v>0.12068948915467299</c:v>
                </c:pt>
                <c:pt idx="7">
                  <c:v>0.117897984368573</c:v>
                </c:pt>
                <c:pt idx="8">
                  <c:v>0.12251116472460299</c:v>
                </c:pt>
                <c:pt idx="9">
                  <c:v>0.12679144795800801</c:v>
                </c:pt>
                <c:pt idx="10">
                  <c:v>0.134100650737419</c:v>
                </c:pt>
                <c:pt idx="11">
                  <c:v>0.14079318638268301</c:v>
                </c:pt>
                <c:pt idx="12">
                  <c:v>0.14193090126656599</c:v>
                </c:pt>
                <c:pt idx="13">
                  <c:v>0.14184958661702801</c:v>
                </c:pt>
                <c:pt idx="14">
                  <c:v>0.14201578656941999</c:v>
                </c:pt>
                <c:pt idx="15">
                  <c:v>0.142847694768761</c:v>
                </c:pt>
                <c:pt idx="16">
                  <c:v>0.143931666429891</c:v>
                </c:pt>
                <c:pt idx="17">
                  <c:v>0.143648861050508</c:v>
                </c:pt>
                <c:pt idx="18">
                  <c:v>0.14423371558568199</c:v>
                </c:pt>
                <c:pt idx="19">
                  <c:v>0.144129839655847</c:v>
                </c:pt>
                <c:pt idx="20">
                  <c:v>0.14483229133391101</c:v>
                </c:pt>
                <c:pt idx="21">
                  <c:v>0.14423533938392599</c:v>
                </c:pt>
                <c:pt idx="22">
                  <c:v>0.14411449096419399</c:v>
                </c:pt>
                <c:pt idx="23">
                  <c:v>0.14466819680898499</c:v>
                </c:pt>
                <c:pt idx="24">
                  <c:v>0.14552005317970301</c:v>
                </c:pt>
                <c:pt idx="25">
                  <c:v>0.14572413945083501</c:v>
                </c:pt>
                <c:pt idx="26">
                  <c:v>0.145937417712631</c:v>
                </c:pt>
                <c:pt idx="27">
                  <c:v>0.14620909467985199</c:v>
                </c:pt>
                <c:pt idx="28">
                  <c:v>0.14605301403440299</c:v>
                </c:pt>
                <c:pt idx="29">
                  <c:v>0.14627413377004</c:v>
                </c:pt>
                <c:pt idx="30">
                  <c:v>0.14704323630137001</c:v>
                </c:pt>
                <c:pt idx="31">
                  <c:v>0.148244516774097</c:v>
                </c:pt>
                <c:pt idx="32">
                  <c:v>0.14923049308415201</c:v>
                </c:pt>
                <c:pt idx="33">
                  <c:v>0.15038119174782699</c:v>
                </c:pt>
                <c:pt idx="34">
                  <c:v>0.15212039327360799</c:v>
                </c:pt>
                <c:pt idx="35">
                  <c:v>0.153074779089933</c:v>
                </c:pt>
              </c:numCache>
            </c:numRef>
          </c:val>
          <c:smooth val="0"/>
        </c:ser>
        <c:ser>
          <c:idx val="1"/>
          <c:order val="1"/>
          <c:tx>
            <c:strRef>
              <c:f>RenPowerTotal!$F$6</c:f>
              <c:strCache>
                <c:ptCount val="1"/>
                <c:pt idx="0">
                  <c:v>Integrated High Efficiency</c:v>
                </c:pt>
              </c:strCache>
            </c:strRef>
          </c:tx>
          <c:spPr>
            <a:ln w="28575" cap="rnd">
              <a:solidFill>
                <a:schemeClr val="accent2"/>
              </a:solidFill>
              <a:round/>
            </a:ln>
            <a:effectLst/>
          </c:spPr>
          <c:marker>
            <c:symbol val="none"/>
          </c:marker>
          <c:cat>
            <c:numRef>
              <c:f>RenPowerTotal!$D$7:$D$42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RenPowerTotal!$F$7:$F$42</c:f>
              <c:numCache>
                <c:formatCode>0%</c:formatCode>
                <c:ptCount val="36"/>
                <c:pt idx="0">
                  <c:v>8.2261001128320799E-2</c:v>
                </c:pt>
                <c:pt idx="1">
                  <c:v>8.9286993450675395E-2</c:v>
                </c:pt>
                <c:pt idx="2">
                  <c:v>7.8894631710362095E-2</c:v>
                </c:pt>
                <c:pt idx="3">
                  <c:v>8.7039255158530504E-2</c:v>
                </c:pt>
                <c:pt idx="4">
                  <c:v>0.100157958368377</c:v>
                </c:pt>
                <c:pt idx="5">
                  <c:v>9.8372947930305099E-2</c:v>
                </c:pt>
                <c:pt idx="6">
                  <c:v>0.12068948915467299</c:v>
                </c:pt>
                <c:pt idx="7">
                  <c:v>0.117897984368573</c:v>
                </c:pt>
                <c:pt idx="8">
                  <c:v>0.12317402464065701</c:v>
                </c:pt>
                <c:pt idx="9">
                  <c:v>0.130018562576799</c:v>
                </c:pt>
                <c:pt idx="10">
                  <c:v>0.13243913869867499</c:v>
                </c:pt>
                <c:pt idx="11">
                  <c:v>0.13769220652831499</c:v>
                </c:pt>
                <c:pt idx="12">
                  <c:v>0.14047865493235301</c:v>
                </c:pt>
                <c:pt idx="13">
                  <c:v>0.14334302935010501</c:v>
                </c:pt>
                <c:pt idx="14">
                  <c:v>0.14723191823899401</c:v>
                </c:pt>
                <c:pt idx="15">
                  <c:v>0.150595472311849</c:v>
                </c:pt>
                <c:pt idx="16">
                  <c:v>0.15366053169734201</c:v>
                </c:pt>
                <c:pt idx="17">
                  <c:v>0.15436624878955199</c:v>
                </c:pt>
                <c:pt idx="18">
                  <c:v>0.154406067251462</c:v>
                </c:pt>
                <c:pt idx="19">
                  <c:v>0.154856398906392</c:v>
                </c:pt>
                <c:pt idx="20">
                  <c:v>0.15485913115733199</c:v>
                </c:pt>
                <c:pt idx="21">
                  <c:v>0.15532250543985099</c:v>
                </c:pt>
                <c:pt idx="22">
                  <c:v>0.15626198413313699</c:v>
                </c:pt>
                <c:pt idx="23">
                  <c:v>0.15690635235860001</c:v>
                </c:pt>
                <c:pt idx="24">
                  <c:v>0.157317657978189</c:v>
                </c:pt>
                <c:pt idx="25">
                  <c:v>0.15743650385604099</c:v>
                </c:pt>
                <c:pt idx="26">
                  <c:v>0.15773946261921901</c:v>
                </c:pt>
                <c:pt idx="27">
                  <c:v>0.15837435398864</c:v>
                </c:pt>
                <c:pt idx="28">
                  <c:v>0.15904162088964999</c:v>
                </c:pt>
                <c:pt idx="29">
                  <c:v>0.159582771516524</c:v>
                </c:pt>
                <c:pt idx="30">
                  <c:v>0.15967313145635001</c:v>
                </c:pt>
                <c:pt idx="31">
                  <c:v>0.15957625837658099</c:v>
                </c:pt>
                <c:pt idx="32">
                  <c:v>0.159318984741049</c:v>
                </c:pt>
                <c:pt idx="33">
                  <c:v>0.15942091486974899</c:v>
                </c:pt>
                <c:pt idx="34">
                  <c:v>0.159850320210495</c:v>
                </c:pt>
                <c:pt idx="35">
                  <c:v>0.15961687526228699</c:v>
                </c:pt>
              </c:numCache>
            </c:numRef>
          </c:val>
          <c:smooth val="0"/>
        </c:ser>
        <c:dLbls>
          <c:showLegendKey val="0"/>
          <c:showVal val="0"/>
          <c:showCatName val="0"/>
          <c:showSerName val="0"/>
          <c:showPercent val="0"/>
          <c:showBubbleSize val="0"/>
        </c:dLbls>
        <c:smooth val="0"/>
        <c:axId val="271007456"/>
        <c:axId val="271008016"/>
      </c:lineChart>
      <c:catAx>
        <c:axId val="27100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1008016"/>
        <c:crosses val="autoZero"/>
        <c:auto val="1"/>
        <c:lblAlgn val="ctr"/>
        <c:lblOffset val="100"/>
        <c:noMultiLvlLbl val="0"/>
      </c:catAx>
      <c:valAx>
        <c:axId val="271008016"/>
        <c:scaling>
          <c:orientation val="minMax"/>
          <c:max val="0.2"/>
          <c:min val="0.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1007456"/>
        <c:crosses val="autoZero"/>
        <c:crossBetween val="between"/>
      </c:valAx>
      <c:spPr>
        <a:noFill/>
        <a:ln>
          <a:noFill/>
        </a:ln>
        <a:effectLst/>
      </c:spPr>
    </c:plotArea>
    <c:legend>
      <c:legendPos val="r"/>
      <c:layout>
        <c:manualLayout>
          <c:xMode val="edge"/>
          <c:yMode val="edge"/>
          <c:x val="0.110466679469944"/>
          <c:y val="0.29303608133320702"/>
          <c:w val="0.47083413353818598"/>
          <c:h val="0.2706612275875149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Residential Electricity Prices</a:t>
            </a:r>
          </a:p>
        </c:rich>
      </c:tx>
      <c:layout/>
      <c:overlay val="0"/>
      <c:spPr>
        <a:noFill/>
        <a:ln>
          <a:noFill/>
        </a:ln>
        <a:effectLst/>
      </c:spPr>
    </c:title>
    <c:autoTitleDeleted val="0"/>
    <c:plotArea>
      <c:layout>
        <c:manualLayout>
          <c:layoutTarget val="inner"/>
          <c:xMode val="edge"/>
          <c:yMode val="edge"/>
          <c:x val="0.21863781178296099"/>
          <c:y val="0.23917924052596901"/>
          <c:w val="0.72951649911685501"/>
          <c:h val="0.54971956091695395"/>
        </c:manualLayout>
      </c:layout>
      <c:lineChart>
        <c:grouping val="standard"/>
        <c:varyColors val="0"/>
        <c:ser>
          <c:idx val="0"/>
          <c:order val="0"/>
          <c:tx>
            <c:strRef>
              <c:f>PowerPriceRes!$E$6</c:f>
              <c:strCache>
                <c:ptCount val="1"/>
                <c:pt idx="0">
                  <c:v>Reference</c:v>
                </c:pt>
              </c:strCache>
            </c:strRef>
          </c:tx>
          <c:spPr>
            <a:ln w="28575" cap="rnd">
              <a:solidFill>
                <a:schemeClr val="accent1"/>
              </a:solidFill>
              <a:round/>
            </a:ln>
            <a:effectLst/>
          </c:spPr>
          <c:marker>
            <c:symbol val="none"/>
          </c:marker>
          <c:cat>
            <c:numRef>
              <c:f>PowerPriceRes!$D$7:$D$42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PowerPriceRes!$E$7:$E$42</c:f>
              <c:numCache>
                <c:formatCode>General</c:formatCode>
                <c:ptCount val="36"/>
                <c:pt idx="0">
                  <c:v>10.86965870307167</c:v>
                </c:pt>
                <c:pt idx="1">
                  <c:v>11.59286689419795</c:v>
                </c:pt>
                <c:pt idx="2">
                  <c:v>11.53662116040956</c:v>
                </c:pt>
                <c:pt idx="3">
                  <c:v>11.916655290102399</c:v>
                </c:pt>
                <c:pt idx="4">
                  <c:v>12.12552901023891</c:v>
                </c:pt>
                <c:pt idx="5">
                  <c:v>11.99232081911263</c:v>
                </c:pt>
                <c:pt idx="6">
                  <c:v>11.929317406143349</c:v>
                </c:pt>
                <c:pt idx="7">
                  <c:v>11.88778156996587</c:v>
                </c:pt>
                <c:pt idx="8">
                  <c:v>11.6142662116041</c:v>
                </c:pt>
                <c:pt idx="9">
                  <c:v>11.74580204778157</c:v>
                </c:pt>
                <c:pt idx="10">
                  <c:v>11.93470989761092</c:v>
                </c:pt>
                <c:pt idx="11">
                  <c:v>12.023174061433449</c:v>
                </c:pt>
                <c:pt idx="12">
                  <c:v>12.144880546075081</c:v>
                </c:pt>
                <c:pt idx="13">
                  <c:v>12.266518771331061</c:v>
                </c:pt>
                <c:pt idx="14">
                  <c:v>12.368737201365199</c:v>
                </c:pt>
                <c:pt idx="15">
                  <c:v>12.36177474402731</c:v>
                </c:pt>
                <c:pt idx="16">
                  <c:v>12.283481228668951</c:v>
                </c:pt>
                <c:pt idx="17">
                  <c:v>12.24511945392492</c:v>
                </c:pt>
                <c:pt idx="18">
                  <c:v>12.223208191126281</c:v>
                </c:pt>
                <c:pt idx="19">
                  <c:v>12.34706484641638</c:v>
                </c:pt>
                <c:pt idx="20">
                  <c:v>12.36928327645051</c:v>
                </c:pt>
                <c:pt idx="21">
                  <c:v>12.399863481228669</c:v>
                </c:pt>
                <c:pt idx="22">
                  <c:v>12.4739590443686</c:v>
                </c:pt>
                <c:pt idx="23">
                  <c:v>12.495085324232081</c:v>
                </c:pt>
                <c:pt idx="24">
                  <c:v>12.57511945392492</c:v>
                </c:pt>
                <c:pt idx="25">
                  <c:v>12.67784982935154</c:v>
                </c:pt>
                <c:pt idx="26">
                  <c:v>12.77590443686007</c:v>
                </c:pt>
                <c:pt idx="27">
                  <c:v>12.789351535836181</c:v>
                </c:pt>
                <c:pt idx="28">
                  <c:v>12.80078498293515</c:v>
                </c:pt>
                <c:pt idx="29">
                  <c:v>12.862901023890799</c:v>
                </c:pt>
                <c:pt idx="30">
                  <c:v>12.947986348122869</c:v>
                </c:pt>
                <c:pt idx="31">
                  <c:v>13.065392491467581</c:v>
                </c:pt>
                <c:pt idx="32">
                  <c:v>13.12587030716724</c:v>
                </c:pt>
                <c:pt idx="33">
                  <c:v>13.14754266211604</c:v>
                </c:pt>
                <c:pt idx="34">
                  <c:v>13.22044368600683</c:v>
                </c:pt>
                <c:pt idx="35">
                  <c:v>13.29689419795222</c:v>
                </c:pt>
              </c:numCache>
            </c:numRef>
          </c:val>
          <c:smooth val="0"/>
        </c:ser>
        <c:ser>
          <c:idx val="1"/>
          <c:order val="1"/>
          <c:tx>
            <c:strRef>
              <c:f>PowerPriceRes!$F$6</c:f>
              <c:strCache>
                <c:ptCount val="1"/>
                <c:pt idx="0">
                  <c:v>Integrated High Efficiency</c:v>
                </c:pt>
              </c:strCache>
            </c:strRef>
          </c:tx>
          <c:spPr>
            <a:ln w="28575" cap="rnd">
              <a:solidFill>
                <a:schemeClr val="accent2"/>
              </a:solidFill>
              <a:round/>
            </a:ln>
            <a:effectLst/>
          </c:spPr>
          <c:marker>
            <c:symbol val="none"/>
          </c:marker>
          <c:cat>
            <c:numRef>
              <c:f>PowerPriceRes!$D$7:$D$42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PowerPriceRes!$F$7:$F$42</c:f>
              <c:numCache>
                <c:formatCode>General</c:formatCode>
                <c:ptCount val="36"/>
                <c:pt idx="0">
                  <c:v>10.86965870307167</c:v>
                </c:pt>
                <c:pt idx="1">
                  <c:v>11.59286689419795</c:v>
                </c:pt>
                <c:pt idx="2">
                  <c:v>11.53662116040956</c:v>
                </c:pt>
                <c:pt idx="3">
                  <c:v>11.916655290102399</c:v>
                </c:pt>
                <c:pt idx="4">
                  <c:v>12.12552901023891</c:v>
                </c:pt>
                <c:pt idx="5">
                  <c:v>11.99232081911263</c:v>
                </c:pt>
                <c:pt idx="6">
                  <c:v>11.929317406143349</c:v>
                </c:pt>
                <c:pt idx="7">
                  <c:v>11.88778156996587</c:v>
                </c:pt>
                <c:pt idx="8">
                  <c:v>11.601535836177471</c:v>
                </c:pt>
                <c:pt idx="9">
                  <c:v>11.8868600682594</c:v>
                </c:pt>
                <c:pt idx="10">
                  <c:v>11.999692832764509</c:v>
                </c:pt>
                <c:pt idx="11">
                  <c:v>12.24774744027304</c:v>
                </c:pt>
                <c:pt idx="12">
                  <c:v>12.44641638225256</c:v>
                </c:pt>
                <c:pt idx="13">
                  <c:v>12.519726962457341</c:v>
                </c:pt>
                <c:pt idx="14">
                  <c:v>12.637679180887369</c:v>
                </c:pt>
                <c:pt idx="15">
                  <c:v>12.586348122866889</c:v>
                </c:pt>
                <c:pt idx="16">
                  <c:v>12.516928327645051</c:v>
                </c:pt>
                <c:pt idx="17">
                  <c:v>12.383242320819109</c:v>
                </c:pt>
                <c:pt idx="18">
                  <c:v>12.36559726962458</c:v>
                </c:pt>
                <c:pt idx="19">
                  <c:v>12.3662457337884</c:v>
                </c:pt>
                <c:pt idx="20">
                  <c:v>12.33866894197952</c:v>
                </c:pt>
                <c:pt idx="21">
                  <c:v>12.31327645051195</c:v>
                </c:pt>
                <c:pt idx="22">
                  <c:v>12.30836177474403</c:v>
                </c:pt>
                <c:pt idx="23">
                  <c:v>12.343515358361779</c:v>
                </c:pt>
                <c:pt idx="24">
                  <c:v>12.393208191126281</c:v>
                </c:pt>
                <c:pt idx="25">
                  <c:v>12.384163822525601</c:v>
                </c:pt>
                <c:pt idx="26">
                  <c:v>12.360614334471</c:v>
                </c:pt>
                <c:pt idx="27">
                  <c:v>12.368361774744031</c:v>
                </c:pt>
                <c:pt idx="28">
                  <c:v>12.376723549488061</c:v>
                </c:pt>
                <c:pt idx="29">
                  <c:v>12.3825938566553</c:v>
                </c:pt>
                <c:pt idx="30">
                  <c:v>12.36402730375427</c:v>
                </c:pt>
                <c:pt idx="31">
                  <c:v>12.319249146757681</c:v>
                </c:pt>
                <c:pt idx="32">
                  <c:v>12.310784982935161</c:v>
                </c:pt>
                <c:pt idx="33">
                  <c:v>12.341638225255981</c:v>
                </c:pt>
                <c:pt idx="34">
                  <c:v>12.36139931740615</c:v>
                </c:pt>
                <c:pt idx="35">
                  <c:v>12.318430034129699</c:v>
                </c:pt>
              </c:numCache>
            </c:numRef>
          </c:val>
          <c:smooth val="0"/>
        </c:ser>
        <c:dLbls>
          <c:showLegendKey val="0"/>
          <c:showVal val="0"/>
          <c:showCatName val="0"/>
          <c:showSerName val="0"/>
          <c:showPercent val="0"/>
          <c:showBubbleSize val="0"/>
        </c:dLbls>
        <c:smooth val="0"/>
        <c:axId val="271109120"/>
        <c:axId val="271109680"/>
      </c:lineChart>
      <c:catAx>
        <c:axId val="27110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109680"/>
        <c:crosses val="autoZero"/>
        <c:auto val="1"/>
        <c:lblAlgn val="ctr"/>
        <c:lblOffset val="100"/>
        <c:noMultiLvlLbl val="0"/>
      </c:catAx>
      <c:valAx>
        <c:axId val="271109680"/>
        <c:scaling>
          <c:orientation val="minMax"/>
          <c:min val="1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Cents per Kilowatt-Hour</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109120"/>
        <c:crosses val="autoZero"/>
        <c:crossBetween val="between"/>
      </c:valAx>
      <c:spPr>
        <a:noFill/>
        <a:ln>
          <a:noFill/>
        </a:ln>
        <a:effectLst/>
      </c:spPr>
    </c:plotArea>
    <c:legend>
      <c:legendPos val="r"/>
      <c:layout>
        <c:manualLayout>
          <c:xMode val="edge"/>
          <c:yMode val="edge"/>
          <c:x val="0.38630944716816101"/>
          <c:y val="0.50245839959660199"/>
          <c:w val="0.60530480859703895"/>
          <c:h val="0.31308017532291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Commercial Electricity</a:t>
            </a:r>
            <a:r>
              <a:rPr lang="en-US" b="1" baseline="0"/>
              <a:t> Prices</a:t>
            </a:r>
            <a:endParaRPr lang="en-US" b="1"/>
          </a:p>
        </c:rich>
      </c:tx>
      <c:layout/>
      <c:overlay val="0"/>
      <c:spPr>
        <a:noFill/>
        <a:ln>
          <a:noFill/>
        </a:ln>
        <a:effectLst/>
      </c:spPr>
    </c:title>
    <c:autoTitleDeleted val="0"/>
    <c:plotArea>
      <c:layout>
        <c:manualLayout>
          <c:layoutTarget val="inner"/>
          <c:xMode val="edge"/>
          <c:yMode val="edge"/>
          <c:x val="0.211972024838359"/>
          <c:y val="0.238006793268488"/>
          <c:w val="0.71337270341207404"/>
          <c:h val="0.55192681797128296"/>
        </c:manualLayout>
      </c:layout>
      <c:lineChart>
        <c:grouping val="standard"/>
        <c:varyColors val="0"/>
        <c:ser>
          <c:idx val="0"/>
          <c:order val="0"/>
          <c:tx>
            <c:strRef>
              <c:f>PowerPriceCom!$E$6</c:f>
              <c:strCache>
                <c:ptCount val="1"/>
                <c:pt idx="0">
                  <c:v>Reference</c:v>
                </c:pt>
              </c:strCache>
            </c:strRef>
          </c:tx>
          <c:spPr>
            <a:ln w="28575" cap="rnd">
              <a:solidFill>
                <a:schemeClr val="accent1"/>
              </a:solidFill>
              <a:round/>
            </a:ln>
            <a:effectLst/>
          </c:spPr>
          <c:marker>
            <c:symbol val="none"/>
          </c:marker>
          <c:cat>
            <c:numRef>
              <c:f>PowerPriceCom!$D$7:$D$42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PowerPriceCom!$E$7:$E$42</c:f>
              <c:numCache>
                <c:formatCode>General</c:formatCode>
                <c:ptCount val="36"/>
                <c:pt idx="0">
                  <c:v>9.9746757679180806</c:v>
                </c:pt>
                <c:pt idx="1">
                  <c:v>10.54051194539249</c:v>
                </c:pt>
                <c:pt idx="2">
                  <c:v>10.447576791808871</c:v>
                </c:pt>
                <c:pt idx="3">
                  <c:v>10.96112627986348</c:v>
                </c:pt>
                <c:pt idx="4">
                  <c:v>10.716860068259381</c:v>
                </c:pt>
                <c:pt idx="5">
                  <c:v>10.592320819112629</c:v>
                </c:pt>
                <c:pt idx="6">
                  <c:v>10.420204778157</c:v>
                </c:pt>
                <c:pt idx="7">
                  <c:v>10.086484641638229</c:v>
                </c:pt>
                <c:pt idx="8">
                  <c:v>10.02849829351536</c:v>
                </c:pt>
                <c:pt idx="9">
                  <c:v>10.110989761092149</c:v>
                </c:pt>
                <c:pt idx="10">
                  <c:v>10.25194539249147</c:v>
                </c:pt>
                <c:pt idx="11">
                  <c:v>10.316962457337899</c:v>
                </c:pt>
                <c:pt idx="12">
                  <c:v>10.39136518771331</c:v>
                </c:pt>
                <c:pt idx="13">
                  <c:v>10.50126279863481</c:v>
                </c:pt>
                <c:pt idx="14">
                  <c:v>10.61703071672355</c:v>
                </c:pt>
                <c:pt idx="15">
                  <c:v>10.544880546075101</c:v>
                </c:pt>
                <c:pt idx="16">
                  <c:v>10.43064846416382</c:v>
                </c:pt>
                <c:pt idx="17">
                  <c:v>10.371228668941979</c:v>
                </c:pt>
                <c:pt idx="18">
                  <c:v>10.337849829351541</c:v>
                </c:pt>
                <c:pt idx="19">
                  <c:v>10.463378839590449</c:v>
                </c:pt>
                <c:pt idx="20">
                  <c:v>10.463105802047799</c:v>
                </c:pt>
                <c:pt idx="21">
                  <c:v>10.48573378839591</c:v>
                </c:pt>
                <c:pt idx="22">
                  <c:v>10.554778156996591</c:v>
                </c:pt>
                <c:pt idx="23">
                  <c:v>10.56433447098976</c:v>
                </c:pt>
                <c:pt idx="24">
                  <c:v>10.636860068259381</c:v>
                </c:pt>
                <c:pt idx="25">
                  <c:v>10.73453924914676</c:v>
                </c:pt>
                <c:pt idx="26">
                  <c:v>10.82433447098976</c:v>
                </c:pt>
                <c:pt idx="27">
                  <c:v>10.82378839590444</c:v>
                </c:pt>
                <c:pt idx="28">
                  <c:v>10.82013651877133</c:v>
                </c:pt>
                <c:pt idx="29">
                  <c:v>10.8731058020478</c:v>
                </c:pt>
                <c:pt idx="30">
                  <c:v>10.958737201365199</c:v>
                </c:pt>
                <c:pt idx="31">
                  <c:v>11.08877133105802</c:v>
                </c:pt>
                <c:pt idx="32">
                  <c:v>11.149044368600681</c:v>
                </c:pt>
                <c:pt idx="33">
                  <c:v>11.16511945392492</c:v>
                </c:pt>
                <c:pt idx="34">
                  <c:v>11.23897610921502</c:v>
                </c:pt>
                <c:pt idx="35">
                  <c:v>11.31436860068259</c:v>
                </c:pt>
              </c:numCache>
            </c:numRef>
          </c:val>
          <c:smooth val="0"/>
        </c:ser>
        <c:ser>
          <c:idx val="1"/>
          <c:order val="1"/>
          <c:tx>
            <c:strRef>
              <c:f>PowerPriceCom!$F$6</c:f>
              <c:strCache>
                <c:ptCount val="1"/>
                <c:pt idx="0">
                  <c:v>Integrated High Efficiency</c:v>
                </c:pt>
              </c:strCache>
            </c:strRef>
          </c:tx>
          <c:spPr>
            <a:ln w="28575" cap="rnd">
              <a:solidFill>
                <a:schemeClr val="accent2"/>
              </a:solidFill>
              <a:round/>
            </a:ln>
            <a:effectLst/>
          </c:spPr>
          <c:marker>
            <c:symbol val="none"/>
          </c:marker>
          <c:cat>
            <c:numRef>
              <c:f>PowerPriceCom!$D$7:$D$42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PowerPriceCom!$F$7:$F$42</c:f>
              <c:numCache>
                <c:formatCode>General</c:formatCode>
                <c:ptCount val="36"/>
                <c:pt idx="0">
                  <c:v>9.9746757679180806</c:v>
                </c:pt>
                <c:pt idx="1">
                  <c:v>10.54051194539249</c:v>
                </c:pt>
                <c:pt idx="2">
                  <c:v>10.447576791808871</c:v>
                </c:pt>
                <c:pt idx="3">
                  <c:v>10.96112627986348</c:v>
                </c:pt>
                <c:pt idx="4">
                  <c:v>10.716860068259381</c:v>
                </c:pt>
                <c:pt idx="5">
                  <c:v>10.592320819112629</c:v>
                </c:pt>
                <c:pt idx="6">
                  <c:v>10.420204778157</c:v>
                </c:pt>
                <c:pt idx="7">
                  <c:v>10.086484641638229</c:v>
                </c:pt>
                <c:pt idx="8">
                  <c:v>10.04566552901024</c:v>
                </c:pt>
                <c:pt idx="9">
                  <c:v>10.07354948805461</c:v>
                </c:pt>
                <c:pt idx="10">
                  <c:v>10.0338566552901</c:v>
                </c:pt>
                <c:pt idx="11">
                  <c:v>10.045802047781571</c:v>
                </c:pt>
                <c:pt idx="12">
                  <c:v>10.17255972696246</c:v>
                </c:pt>
                <c:pt idx="13">
                  <c:v>10.22518771331058</c:v>
                </c:pt>
                <c:pt idx="14">
                  <c:v>10.372525597269631</c:v>
                </c:pt>
                <c:pt idx="15">
                  <c:v>10.32163822525597</c:v>
                </c:pt>
                <c:pt idx="16">
                  <c:v>10.26672354948805</c:v>
                </c:pt>
                <c:pt idx="17">
                  <c:v>10.15</c:v>
                </c:pt>
                <c:pt idx="18">
                  <c:v>10.164027303754271</c:v>
                </c:pt>
                <c:pt idx="19">
                  <c:v>10.188771331058019</c:v>
                </c:pt>
                <c:pt idx="20">
                  <c:v>10.176860068259399</c:v>
                </c:pt>
                <c:pt idx="21">
                  <c:v>10.17740614334471</c:v>
                </c:pt>
                <c:pt idx="22">
                  <c:v>10.20508532423208</c:v>
                </c:pt>
                <c:pt idx="23">
                  <c:v>10.26088737201365</c:v>
                </c:pt>
                <c:pt idx="24">
                  <c:v>10.33382252559727</c:v>
                </c:pt>
                <c:pt idx="25">
                  <c:v>10.35180887372014</c:v>
                </c:pt>
                <c:pt idx="26">
                  <c:v>10.351296928327651</c:v>
                </c:pt>
                <c:pt idx="27">
                  <c:v>10.3861433447099</c:v>
                </c:pt>
                <c:pt idx="28">
                  <c:v>10.423481228668949</c:v>
                </c:pt>
                <c:pt idx="29">
                  <c:v>10.45648464163823</c:v>
                </c:pt>
                <c:pt idx="30">
                  <c:v>10.455767918088741</c:v>
                </c:pt>
                <c:pt idx="31">
                  <c:v>10.433139931740619</c:v>
                </c:pt>
                <c:pt idx="32">
                  <c:v>10.45689419795222</c:v>
                </c:pt>
                <c:pt idx="33">
                  <c:v>10.513924914675769</c:v>
                </c:pt>
                <c:pt idx="34">
                  <c:v>10.550819112628</c:v>
                </c:pt>
                <c:pt idx="35">
                  <c:v>10.52542662116041</c:v>
                </c:pt>
              </c:numCache>
            </c:numRef>
          </c:val>
          <c:smooth val="0"/>
        </c:ser>
        <c:dLbls>
          <c:showLegendKey val="0"/>
          <c:showVal val="0"/>
          <c:showCatName val="0"/>
          <c:showSerName val="0"/>
          <c:showPercent val="0"/>
          <c:showBubbleSize val="0"/>
        </c:dLbls>
        <c:smooth val="0"/>
        <c:axId val="271499952"/>
        <c:axId val="271500512"/>
      </c:lineChart>
      <c:catAx>
        <c:axId val="27149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500512"/>
        <c:crosses val="autoZero"/>
        <c:auto val="1"/>
        <c:lblAlgn val="ctr"/>
        <c:lblOffset val="100"/>
        <c:noMultiLvlLbl val="0"/>
      </c:catAx>
      <c:valAx>
        <c:axId val="27150051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Cents per</a:t>
                </a:r>
                <a:r>
                  <a:rPr lang="en-US" baseline="0"/>
                  <a:t> Kilowatt-Hour</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499952"/>
        <c:crosses val="autoZero"/>
        <c:crossBetween val="between"/>
      </c:valAx>
      <c:spPr>
        <a:noFill/>
        <a:ln>
          <a:noFill/>
        </a:ln>
        <a:effectLst/>
      </c:spPr>
    </c:plotArea>
    <c:legend>
      <c:legendPos val="r"/>
      <c:layout>
        <c:manualLayout>
          <c:xMode val="edge"/>
          <c:yMode val="edge"/>
          <c:x val="0.22615773638051301"/>
          <c:y val="0.15604086253924099"/>
          <c:w val="0.51367966199347104"/>
          <c:h val="0.291937625443878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Industrial Electricity Prices</a:t>
            </a:r>
          </a:p>
        </c:rich>
      </c:tx>
      <c:layout/>
      <c:overlay val="0"/>
      <c:spPr>
        <a:noFill/>
        <a:ln>
          <a:noFill/>
        </a:ln>
        <a:effectLst/>
      </c:spPr>
    </c:title>
    <c:autoTitleDeleted val="0"/>
    <c:plotArea>
      <c:layout>
        <c:manualLayout>
          <c:layoutTarget val="inner"/>
          <c:xMode val="edge"/>
          <c:yMode val="edge"/>
          <c:x val="0.23022513681390999"/>
          <c:y val="0.27431291427554599"/>
          <c:w val="0.70101523233349505"/>
          <c:h val="0.48357667156012302"/>
        </c:manualLayout>
      </c:layout>
      <c:lineChart>
        <c:grouping val="standard"/>
        <c:varyColors val="0"/>
        <c:ser>
          <c:idx val="0"/>
          <c:order val="0"/>
          <c:tx>
            <c:strRef>
              <c:f>PowerPriceInd!$E$6</c:f>
              <c:strCache>
                <c:ptCount val="1"/>
                <c:pt idx="0">
                  <c:v>Reference</c:v>
                </c:pt>
              </c:strCache>
            </c:strRef>
          </c:tx>
          <c:spPr>
            <a:ln w="28575" cap="rnd">
              <a:solidFill>
                <a:schemeClr val="accent1"/>
              </a:solidFill>
              <a:round/>
            </a:ln>
            <a:effectLst/>
          </c:spPr>
          <c:marker>
            <c:symbol val="none"/>
          </c:marker>
          <c:cat>
            <c:numRef>
              <c:f>PowerPriceInd!$D$7:$D$42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PowerPriceInd!$E$7:$E$42</c:f>
              <c:numCache>
                <c:formatCode>General</c:formatCode>
                <c:ptCount val="36"/>
                <c:pt idx="0">
                  <c:v>6.5797610921501803</c:v>
                </c:pt>
                <c:pt idx="1">
                  <c:v>6.8396928327645101</c:v>
                </c:pt>
                <c:pt idx="2">
                  <c:v>6.8965187713310536</c:v>
                </c:pt>
                <c:pt idx="3">
                  <c:v>7.1783959044368606</c:v>
                </c:pt>
                <c:pt idx="4">
                  <c:v>7.1798976109215022</c:v>
                </c:pt>
                <c:pt idx="5">
                  <c:v>7.0379522184300356</c:v>
                </c:pt>
                <c:pt idx="6">
                  <c:v>6.9447098976109221</c:v>
                </c:pt>
                <c:pt idx="7">
                  <c:v>6.6537883959044368</c:v>
                </c:pt>
                <c:pt idx="8">
                  <c:v>6.8506484641638297</c:v>
                </c:pt>
                <c:pt idx="9">
                  <c:v>6.7838566552901032</c:v>
                </c:pt>
                <c:pt idx="10">
                  <c:v>6.863412969283269</c:v>
                </c:pt>
                <c:pt idx="11">
                  <c:v>6.8759726962457286</c:v>
                </c:pt>
                <c:pt idx="12">
                  <c:v>6.9293515358361804</c:v>
                </c:pt>
                <c:pt idx="13">
                  <c:v>7.0284982935153586</c:v>
                </c:pt>
                <c:pt idx="14">
                  <c:v>7.1309215017064771</c:v>
                </c:pt>
                <c:pt idx="15">
                  <c:v>7.1012969283276464</c:v>
                </c:pt>
                <c:pt idx="16">
                  <c:v>7.0644027303754244</c:v>
                </c:pt>
                <c:pt idx="17">
                  <c:v>7.0626279863481232</c:v>
                </c:pt>
                <c:pt idx="18">
                  <c:v>7.0783617747440299</c:v>
                </c:pt>
                <c:pt idx="19">
                  <c:v>7.1809556313993097</c:v>
                </c:pt>
                <c:pt idx="20">
                  <c:v>7.2170307167235466</c:v>
                </c:pt>
                <c:pt idx="21">
                  <c:v>7.2586348122866866</c:v>
                </c:pt>
                <c:pt idx="22">
                  <c:v>7.3301365187713277</c:v>
                </c:pt>
                <c:pt idx="23">
                  <c:v>7.365494880546068</c:v>
                </c:pt>
                <c:pt idx="24">
                  <c:v>7.4463481228669002</c:v>
                </c:pt>
                <c:pt idx="25">
                  <c:v>7.5432764505119474</c:v>
                </c:pt>
                <c:pt idx="26">
                  <c:v>7.6321501706484547</c:v>
                </c:pt>
                <c:pt idx="27">
                  <c:v>7.6559385665528854</c:v>
                </c:pt>
                <c:pt idx="28">
                  <c:v>7.6874061433447096</c:v>
                </c:pt>
                <c:pt idx="29">
                  <c:v>7.7553583617747437</c:v>
                </c:pt>
                <c:pt idx="30">
                  <c:v>7.8453583617747444</c:v>
                </c:pt>
                <c:pt idx="31">
                  <c:v>7.9666894197952232</c:v>
                </c:pt>
                <c:pt idx="32">
                  <c:v>8.0311604095562998</c:v>
                </c:pt>
                <c:pt idx="33">
                  <c:v>8.0580546075085326</c:v>
                </c:pt>
                <c:pt idx="34">
                  <c:v>8.1443686006825633</c:v>
                </c:pt>
                <c:pt idx="35">
                  <c:v>8.2410921501706476</c:v>
                </c:pt>
              </c:numCache>
            </c:numRef>
          </c:val>
          <c:smooth val="0"/>
        </c:ser>
        <c:ser>
          <c:idx val="1"/>
          <c:order val="1"/>
          <c:tx>
            <c:strRef>
              <c:f>PowerPriceInd!$F$6</c:f>
              <c:strCache>
                <c:ptCount val="1"/>
                <c:pt idx="0">
                  <c:v>Integrated High Efficiency</c:v>
                </c:pt>
              </c:strCache>
            </c:strRef>
          </c:tx>
          <c:spPr>
            <a:ln w="28575" cap="rnd">
              <a:solidFill>
                <a:schemeClr val="accent2"/>
              </a:solidFill>
              <a:round/>
            </a:ln>
            <a:effectLst/>
          </c:spPr>
          <c:marker>
            <c:symbol val="none"/>
          </c:marker>
          <c:cat>
            <c:numRef>
              <c:f>PowerPriceInd!$D$7:$D$42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PowerPriceInd!$F$7:$F$42</c:f>
              <c:numCache>
                <c:formatCode>General</c:formatCode>
                <c:ptCount val="36"/>
                <c:pt idx="0">
                  <c:v>6.5797610921501803</c:v>
                </c:pt>
                <c:pt idx="1">
                  <c:v>6.8396928327645101</c:v>
                </c:pt>
                <c:pt idx="2">
                  <c:v>6.8965187713310536</c:v>
                </c:pt>
                <c:pt idx="3">
                  <c:v>7.1783959044368606</c:v>
                </c:pt>
                <c:pt idx="4">
                  <c:v>7.1798976109215022</c:v>
                </c:pt>
                <c:pt idx="5">
                  <c:v>7.0379522184300356</c:v>
                </c:pt>
                <c:pt idx="6">
                  <c:v>6.9447098976109221</c:v>
                </c:pt>
                <c:pt idx="7">
                  <c:v>6.6537883959044368</c:v>
                </c:pt>
                <c:pt idx="8">
                  <c:v>6.8494880546075088</c:v>
                </c:pt>
                <c:pt idx="9">
                  <c:v>6.7496587030716801</c:v>
                </c:pt>
                <c:pt idx="10">
                  <c:v>6.6949488054607427</c:v>
                </c:pt>
                <c:pt idx="11">
                  <c:v>6.7129692832764496</c:v>
                </c:pt>
                <c:pt idx="12">
                  <c:v>6.7631058020477726</c:v>
                </c:pt>
                <c:pt idx="13">
                  <c:v>6.8193856655290066</c:v>
                </c:pt>
                <c:pt idx="14">
                  <c:v>6.9145392491467437</c:v>
                </c:pt>
                <c:pt idx="15">
                  <c:v>6.9262116040955632</c:v>
                </c:pt>
                <c:pt idx="16">
                  <c:v>6.8726962457337883</c:v>
                </c:pt>
                <c:pt idx="17">
                  <c:v>6.7808191126279862</c:v>
                </c:pt>
                <c:pt idx="18">
                  <c:v>6.8106143344709826</c:v>
                </c:pt>
                <c:pt idx="19">
                  <c:v>6.8370989761092051</c:v>
                </c:pt>
                <c:pt idx="20">
                  <c:v>6.8524914675767814</c:v>
                </c:pt>
                <c:pt idx="21">
                  <c:v>6.8725255972696253</c:v>
                </c:pt>
                <c:pt idx="22">
                  <c:v>6.9172013651877116</c:v>
                </c:pt>
                <c:pt idx="23">
                  <c:v>6.9788395904436902</c:v>
                </c:pt>
                <c:pt idx="24">
                  <c:v>7.0396928327645103</c:v>
                </c:pt>
                <c:pt idx="25">
                  <c:v>7.0725597269624556</c:v>
                </c:pt>
                <c:pt idx="26">
                  <c:v>7.0831058020477746</c:v>
                </c:pt>
                <c:pt idx="27">
                  <c:v>7.13126279863482</c:v>
                </c:pt>
                <c:pt idx="28">
                  <c:v>7.2050511945392497</c:v>
                </c:pt>
                <c:pt idx="29">
                  <c:v>7.2490102389078466</c:v>
                </c:pt>
                <c:pt idx="30">
                  <c:v>7.2759726962457343</c:v>
                </c:pt>
                <c:pt idx="31">
                  <c:v>7.2868941979522202</c:v>
                </c:pt>
                <c:pt idx="32">
                  <c:v>7.3460068259385674</c:v>
                </c:pt>
                <c:pt idx="33">
                  <c:v>7.4130034129692826</c:v>
                </c:pt>
                <c:pt idx="34">
                  <c:v>7.46969283276451</c:v>
                </c:pt>
                <c:pt idx="35">
                  <c:v>7.4711604095563171</c:v>
                </c:pt>
              </c:numCache>
            </c:numRef>
          </c:val>
          <c:smooth val="0"/>
        </c:ser>
        <c:dLbls>
          <c:showLegendKey val="0"/>
          <c:showVal val="0"/>
          <c:showCatName val="0"/>
          <c:showSerName val="0"/>
          <c:showPercent val="0"/>
          <c:showBubbleSize val="0"/>
        </c:dLbls>
        <c:smooth val="0"/>
        <c:axId val="271378560"/>
        <c:axId val="271379120"/>
      </c:lineChart>
      <c:catAx>
        <c:axId val="2713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379120"/>
        <c:crosses val="autoZero"/>
        <c:auto val="1"/>
        <c:lblAlgn val="ctr"/>
        <c:lblOffset val="100"/>
        <c:noMultiLvlLbl val="0"/>
      </c:catAx>
      <c:valAx>
        <c:axId val="271379120"/>
        <c:scaling>
          <c:orientation val="minMax"/>
          <c:max val="8.3000000000000007"/>
          <c:min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Cents per Kilowatt-Hour</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378560"/>
        <c:crosses val="autoZero"/>
        <c:crossBetween val="between"/>
      </c:valAx>
      <c:spPr>
        <a:noFill/>
        <a:ln>
          <a:noFill/>
        </a:ln>
        <a:effectLst/>
      </c:spPr>
    </c:plotArea>
    <c:legend>
      <c:legendPos val="r"/>
      <c:layout>
        <c:manualLayout>
          <c:xMode val="edge"/>
          <c:yMode val="edge"/>
          <c:x val="0.27825894197242901"/>
          <c:y val="0.25004671026291198"/>
          <c:w val="0.34246442068641703"/>
          <c:h val="0.29211026587778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Commercial</a:t>
            </a:r>
          </a:p>
        </c:rich>
      </c:tx>
      <c:layout/>
      <c:overlay val="0"/>
    </c:title>
    <c:autoTitleDeleted val="0"/>
    <c:plotArea>
      <c:layout/>
      <c:lineChart>
        <c:grouping val="standard"/>
        <c:varyColors val="0"/>
        <c:ser>
          <c:idx val="0"/>
          <c:order val="0"/>
          <c:tx>
            <c:strRef>
              <c:f>Electricity!$G$7</c:f>
              <c:strCache>
                <c:ptCount val="1"/>
                <c:pt idx="0">
                  <c:v>Reference</c:v>
                </c:pt>
              </c:strCache>
            </c:strRef>
          </c:tx>
          <c:spPr>
            <a:ln>
              <a:solidFill>
                <a:schemeClr val="tx1"/>
              </a:solidFill>
            </a:ln>
          </c:spPr>
          <c:marker>
            <c:symbol val="none"/>
          </c:marker>
          <c:cat>
            <c:numRef>
              <c:f>Electricity!$A$8:$A$43</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Electricity!$G$8:$G$43</c:f>
              <c:numCache>
                <c:formatCode>General</c:formatCode>
                <c:ptCount val="36"/>
                <c:pt idx="0">
                  <c:v>4.3505699999999976</c:v>
                </c:pt>
                <c:pt idx="1">
                  <c:v>4.4347300000000001</c:v>
                </c:pt>
                <c:pt idx="2">
                  <c:v>4.5595099999999986</c:v>
                </c:pt>
                <c:pt idx="3">
                  <c:v>4.55837</c:v>
                </c:pt>
                <c:pt idx="4">
                  <c:v>4.4600499999999998</c:v>
                </c:pt>
                <c:pt idx="5">
                  <c:v>4.5386499999999996</c:v>
                </c:pt>
                <c:pt idx="6">
                  <c:v>4.5313400000000001</c:v>
                </c:pt>
                <c:pt idx="7">
                  <c:v>4.5169600000000001</c:v>
                </c:pt>
                <c:pt idx="8">
                  <c:v>4.5276099999999966</c:v>
                </c:pt>
                <c:pt idx="9">
                  <c:v>4.4447299999999998</c:v>
                </c:pt>
                <c:pt idx="10">
                  <c:v>4.4959499999999997</c:v>
                </c:pt>
                <c:pt idx="11">
                  <c:v>4.5184899999999946</c:v>
                </c:pt>
                <c:pt idx="12">
                  <c:v>4.5529400000000004</c:v>
                </c:pt>
                <c:pt idx="13">
                  <c:v>4.5922999999999998</c:v>
                </c:pt>
                <c:pt idx="14">
                  <c:v>4.6335199999999936</c:v>
                </c:pt>
                <c:pt idx="15">
                  <c:v>4.6750400000000001</c:v>
                </c:pt>
                <c:pt idx="16">
                  <c:v>4.7263700000000002</c:v>
                </c:pt>
                <c:pt idx="17">
                  <c:v>4.7818800000000001</c:v>
                </c:pt>
                <c:pt idx="18">
                  <c:v>4.8366199999999999</c:v>
                </c:pt>
                <c:pt idx="19">
                  <c:v>4.8836700000000004</c:v>
                </c:pt>
                <c:pt idx="20">
                  <c:v>4.9324599999999998</c:v>
                </c:pt>
                <c:pt idx="21">
                  <c:v>4.9836</c:v>
                </c:pt>
                <c:pt idx="22">
                  <c:v>5.0324999999999998</c:v>
                </c:pt>
                <c:pt idx="23">
                  <c:v>5.0839099999999986</c:v>
                </c:pt>
                <c:pt idx="24">
                  <c:v>5.1333000000000002</c:v>
                </c:pt>
                <c:pt idx="25">
                  <c:v>5.1713399999999998</c:v>
                </c:pt>
                <c:pt idx="26">
                  <c:v>5.2088099999999997</c:v>
                </c:pt>
                <c:pt idx="27">
                  <c:v>5.2549799999999944</c:v>
                </c:pt>
                <c:pt idx="28">
                  <c:v>5.30762</c:v>
                </c:pt>
                <c:pt idx="29">
                  <c:v>5.3611699999999987</c:v>
                </c:pt>
                <c:pt idx="30">
                  <c:v>5.4175000000000004</c:v>
                </c:pt>
                <c:pt idx="31">
                  <c:v>5.4725099999999998</c:v>
                </c:pt>
                <c:pt idx="32">
                  <c:v>5.5317100000000003</c:v>
                </c:pt>
                <c:pt idx="33">
                  <c:v>5.5966300000000002</c:v>
                </c:pt>
                <c:pt idx="34">
                  <c:v>5.6595599999999937</c:v>
                </c:pt>
                <c:pt idx="35">
                  <c:v>5.7166800000000002</c:v>
                </c:pt>
              </c:numCache>
            </c:numRef>
          </c:val>
          <c:smooth val="0"/>
        </c:ser>
        <c:ser>
          <c:idx val="1"/>
          <c:order val="1"/>
          <c:tx>
            <c:strRef>
              <c:f>Electricity!$H$7</c:f>
              <c:strCache>
                <c:ptCount val="1"/>
                <c:pt idx="0">
                  <c:v>Integrated High Efficiency</c:v>
                </c:pt>
              </c:strCache>
            </c:strRef>
          </c:tx>
          <c:marker>
            <c:symbol val="none"/>
          </c:marker>
          <c:cat>
            <c:numRef>
              <c:f>Electricity!$A$8:$A$43</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Electricity!$H$8:$H$43</c:f>
              <c:numCache>
                <c:formatCode>General</c:formatCode>
                <c:ptCount val="36"/>
                <c:pt idx="0">
                  <c:v>4.3505699999999976</c:v>
                </c:pt>
                <c:pt idx="1">
                  <c:v>4.4347300000000001</c:v>
                </c:pt>
                <c:pt idx="2">
                  <c:v>4.5595099999999986</c:v>
                </c:pt>
                <c:pt idx="3">
                  <c:v>4.55837</c:v>
                </c:pt>
                <c:pt idx="4">
                  <c:v>4.4600499999999998</c:v>
                </c:pt>
                <c:pt idx="5">
                  <c:v>4.5386499999999996</c:v>
                </c:pt>
                <c:pt idx="6">
                  <c:v>4.5313400000000001</c:v>
                </c:pt>
                <c:pt idx="7">
                  <c:v>4.5169600000000001</c:v>
                </c:pt>
                <c:pt idx="8">
                  <c:v>4.5276099999999966</c:v>
                </c:pt>
                <c:pt idx="9">
                  <c:v>4.4405299999999999</c:v>
                </c:pt>
                <c:pt idx="10">
                  <c:v>4.45486</c:v>
                </c:pt>
                <c:pt idx="11">
                  <c:v>4.4508099999999997</c:v>
                </c:pt>
                <c:pt idx="12">
                  <c:v>4.4504900000000003</c:v>
                </c:pt>
                <c:pt idx="13">
                  <c:v>4.4557599999999997</c:v>
                </c:pt>
                <c:pt idx="14">
                  <c:v>4.4618399999999996</c:v>
                </c:pt>
                <c:pt idx="15">
                  <c:v>4.45092</c:v>
                </c:pt>
                <c:pt idx="16">
                  <c:v>4.4493499999999999</c:v>
                </c:pt>
                <c:pt idx="17">
                  <c:v>4.4572900000000004</c:v>
                </c:pt>
                <c:pt idx="18">
                  <c:v>4.4656700000000003</c:v>
                </c:pt>
                <c:pt idx="19">
                  <c:v>4.4733299999999998</c:v>
                </c:pt>
                <c:pt idx="20">
                  <c:v>4.4832900000000002</c:v>
                </c:pt>
                <c:pt idx="21">
                  <c:v>4.4921199999999946</c:v>
                </c:pt>
                <c:pt idx="22">
                  <c:v>4.4998399999999998</c:v>
                </c:pt>
                <c:pt idx="23">
                  <c:v>4.5074299999999976</c:v>
                </c:pt>
                <c:pt idx="24">
                  <c:v>4.5142600000000002</c:v>
                </c:pt>
                <c:pt idx="25">
                  <c:v>4.5189799999999956</c:v>
                </c:pt>
                <c:pt idx="26">
                  <c:v>4.5300599999999998</c:v>
                </c:pt>
                <c:pt idx="27">
                  <c:v>4.5452700000000004</c:v>
                </c:pt>
                <c:pt idx="28">
                  <c:v>4.5620499999999966</c:v>
                </c:pt>
                <c:pt idx="29">
                  <c:v>4.5827200000000001</c:v>
                </c:pt>
                <c:pt idx="30">
                  <c:v>4.6074599999999917</c:v>
                </c:pt>
                <c:pt idx="31">
                  <c:v>4.6383200000000002</c:v>
                </c:pt>
                <c:pt idx="32">
                  <c:v>4.6720299999999977</c:v>
                </c:pt>
                <c:pt idx="33">
                  <c:v>4.7039799999999996</c:v>
                </c:pt>
                <c:pt idx="34">
                  <c:v>4.7340499999999999</c:v>
                </c:pt>
                <c:pt idx="35">
                  <c:v>4.7655199999999898</c:v>
                </c:pt>
              </c:numCache>
            </c:numRef>
          </c:val>
          <c:smooth val="0"/>
        </c:ser>
        <c:dLbls>
          <c:showLegendKey val="0"/>
          <c:showVal val="0"/>
          <c:showCatName val="0"/>
          <c:showSerName val="0"/>
          <c:showPercent val="0"/>
          <c:showBubbleSize val="0"/>
        </c:dLbls>
        <c:smooth val="0"/>
        <c:axId val="200164464"/>
        <c:axId val="200216496"/>
      </c:lineChart>
      <c:catAx>
        <c:axId val="200164464"/>
        <c:scaling>
          <c:orientation val="minMax"/>
        </c:scaling>
        <c:delete val="0"/>
        <c:axPos val="b"/>
        <c:numFmt formatCode="General" sourceLinked="1"/>
        <c:majorTickMark val="out"/>
        <c:minorTickMark val="none"/>
        <c:tickLblPos val="nextTo"/>
        <c:crossAx val="200216496"/>
        <c:crosses val="autoZero"/>
        <c:auto val="1"/>
        <c:lblAlgn val="ctr"/>
        <c:lblOffset val="100"/>
        <c:noMultiLvlLbl val="0"/>
      </c:catAx>
      <c:valAx>
        <c:axId val="200216496"/>
        <c:scaling>
          <c:orientation val="minMax"/>
          <c:min val="3"/>
        </c:scaling>
        <c:delete val="0"/>
        <c:axPos val="l"/>
        <c:majorGridlines/>
        <c:title>
          <c:tx>
            <c:rich>
              <a:bodyPr rot="-5400000" vert="horz"/>
              <a:lstStyle/>
              <a:p>
                <a:pPr>
                  <a:defRPr/>
                </a:pPr>
                <a:r>
                  <a:rPr lang="en-US"/>
                  <a:t>Quad Btu</a:t>
                </a:r>
              </a:p>
            </c:rich>
          </c:tx>
          <c:layout/>
          <c:overlay val="0"/>
        </c:title>
        <c:numFmt formatCode="General" sourceLinked="1"/>
        <c:majorTickMark val="out"/>
        <c:minorTickMark val="none"/>
        <c:tickLblPos val="nextTo"/>
        <c:crossAx val="200164464"/>
        <c:crosses val="autoZero"/>
        <c:crossBetween val="between"/>
      </c:valAx>
    </c:plotArea>
    <c:legend>
      <c:legendPos val="l"/>
      <c:layout>
        <c:manualLayout>
          <c:xMode val="edge"/>
          <c:yMode val="edge"/>
          <c:x val="0.147222222222222"/>
          <c:y val="0.201840551181102"/>
          <c:w val="0.32222222222222202"/>
          <c:h val="0.16354039078448501"/>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Industrial</a:t>
            </a:r>
          </a:p>
        </c:rich>
      </c:tx>
      <c:layout/>
      <c:overlay val="0"/>
    </c:title>
    <c:autoTitleDeleted val="0"/>
    <c:plotArea>
      <c:layout/>
      <c:lineChart>
        <c:grouping val="standard"/>
        <c:varyColors val="0"/>
        <c:ser>
          <c:idx val="0"/>
          <c:order val="0"/>
          <c:tx>
            <c:strRef>
              <c:f>Electricity!$L$7</c:f>
              <c:strCache>
                <c:ptCount val="1"/>
                <c:pt idx="0">
                  <c:v>Reference</c:v>
                </c:pt>
              </c:strCache>
            </c:strRef>
          </c:tx>
          <c:spPr>
            <a:ln>
              <a:solidFill>
                <a:schemeClr val="tx1"/>
              </a:solidFill>
            </a:ln>
          </c:spPr>
          <c:marker>
            <c:symbol val="none"/>
          </c:marker>
          <c:cat>
            <c:numRef>
              <c:f>Electricity!$A$8:$A$43</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Electricity!$L$8:$L$43</c:f>
              <c:numCache>
                <c:formatCode>General</c:formatCode>
                <c:ptCount val="36"/>
                <c:pt idx="0">
                  <c:v>3.47736</c:v>
                </c:pt>
                <c:pt idx="1">
                  <c:v>3.4505400000000002</c:v>
                </c:pt>
                <c:pt idx="2">
                  <c:v>3.506949999999998</c:v>
                </c:pt>
                <c:pt idx="3">
                  <c:v>3.44374</c:v>
                </c:pt>
                <c:pt idx="4">
                  <c:v>3.1303100000000001</c:v>
                </c:pt>
                <c:pt idx="5">
                  <c:v>3.3125999999999971</c:v>
                </c:pt>
                <c:pt idx="6">
                  <c:v>3.3823799999999991</c:v>
                </c:pt>
                <c:pt idx="7">
                  <c:v>3.3466</c:v>
                </c:pt>
                <c:pt idx="8">
                  <c:v>3.3193000000000001</c:v>
                </c:pt>
                <c:pt idx="9">
                  <c:v>3.4516300000000002</c:v>
                </c:pt>
                <c:pt idx="10">
                  <c:v>3.5880000000000001</c:v>
                </c:pt>
                <c:pt idx="11">
                  <c:v>3.736279999999998</c:v>
                </c:pt>
                <c:pt idx="12">
                  <c:v>3.8704800000000001</c:v>
                </c:pt>
                <c:pt idx="13">
                  <c:v>3.957059999999998</c:v>
                </c:pt>
                <c:pt idx="14">
                  <c:v>3.9931000000000001</c:v>
                </c:pt>
                <c:pt idx="15">
                  <c:v>4.0424300000000004</c:v>
                </c:pt>
                <c:pt idx="16">
                  <c:v>4.0970999999999966</c:v>
                </c:pt>
                <c:pt idx="17">
                  <c:v>4.15022</c:v>
                </c:pt>
                <c:pt idx="18">
                  <c:v>4.1983600000000001</c:v>
                </c:pt>
                <c:pt idx="19">
                  <c:v>4.2360100000000003</c:v>
                </c:pt>
                <c:pt idx="20">
                  <c:v>4.2756499999999997</c:v>
                </c:pt>
                <c:pt idx="21">
                  <c:v>4.3043299999999984</c:v>
                </c:pt>
                <c:pt idx="22">
                  <c:v>4.3236099999999986</c:v>
                </c:pt>
                <c:pt idx="23">
                  <c:v>4.3368500000000001</c:v>
                </c:pt>
                <c:pt idx="24">
                  <c:v>4.3335699999999999</c:v>
                </c:pt>
                <c:pt idx="25">
                  <c:v>4.3315099999999997</c:v>
                </c:pt>
                <c:pt idx="26">
                  <c:v>4.3261099999999946</c:v>
                </c:pt>
                <c:pt idx="27">
                  <c:v>4.3192300000000001</c:v>
                </c:pt>
                <c:pt idx="28">
                  <c:v>4.3151499999999956</c:v>
                </c:pt>
                <c:pt idx="29">
                  <c:v>4.3145199999999857</c:v>
                </c:pt>
                <c:pt idx="30">
                  <c:v>4.3136900000000002</c:v>
                </c:pt>
                <c:pt idx="31">
                  <c:v>4.31365</c:v>
                </c:pt>
                <c:pt idx="32">
                  <c:v>4.3220599999999916</c:v>
                </c:pt>
                <c:pt idx="33">
                  <c:v>4.3323400000000003</c:v>
                </c:pt>
                <c:pt idx="34">
                  <c:v>4.3369400000000002</c:v>
                </c:pt>
                <c:pt idx="35">
                  <c:v>4.3407999999999998</c:v>
                </c:pt>
              </c:numCache>
            </c:numRef>
          </c:val>
          <c:smooth val="0"/>
        </c:ser>
        <c:ser>
          <c:idx val="1"/>
          <c:order val="1"/>
          <c:tx>
            <c:strRef>
              <c:f>Electricity!$M$7</c:f>
              <c:strCache>
                <c:ptCount val="1"/>
                <c:pt idx="0">
                  <c:v>Integrated High Efficiency</c:v>
                </c:pt>
              </c:strCache>
            </c:strRef>
          </c:tx>
          <c:spPr>
            <a:ln>
              <a:solidFill>
                <a:schemeClr val="accent1"/>
              </a:solidFill>
            </a:ln>
          </c:spPr>
          <c:marker>
            <c:symbol val="none"/>
          </c:marker>
          <c:cat>
            <c:numRef>
              <c:f>Electricity!$A$8:$A$43</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Electricity!$M$8:$M$43</c:f>
              <c:numCache>
                <c:formatCode>General</c:formatCode>
                <c:ptCount val="36"/>
                <c:pt idx="0">
                  <c:v>3.47736</c:v>
                </c:pt>
                <c:pt idx="1">
                  <c:v>3.4505400000000002</c:v>
                </c:pt>
                <c:pt idx="2">
                  <c:v>3.506949999999998</c:v>
                </c:pt>
                <c:pt idx="3">
                  <c:v>3.44374</c:v>
                </c:pt>
                <c:pt idx="4">
                  <c:v>3.1303100000000001</c:v>
                </c:pt>
                <c:pt idx="5">
                  <c:v>3.3125999999999971</c:v>
                </c:pt>
                <c:pt idx="6">
                  <c:v>3.3823799999999991</c:v>
                </c:pt>
                <c:pt idx="7">
                  <c:v>3.3466</c:v>
                </c:pt>
                <c:pt idx="8">
                  <c:v>3.3193000000000001</c:v>
                </c:pt>
                <c:pt idx="9">
                  <c:v>3.424669999999999</c:v>
                </c:pt>
                <c:pt idx="10">
                  <c:v>3.539559999999998</c:v>
                </c:pt>
                <c:pt idx="11">
                  <c:v>3.6588500000000002</c:v>
                </c:pt>
                <c:pt idx="12">
                  <c:v>3.7753299999999999</c:v>
                </c:pt>
                <c:pt idx="13">
                  <c:v>3.8485900000000002</c:v>
                </c:pt>
                <c:pt idx="14">
                  <c:v>3.8729599999999911</c:v>
                </c:pt>
                <c:pt idx="15">
                  <c:v>3.906019999999998</c:v>
                </c:pt>
                <c:pt idx="16">
                  <c:v>3.951299999999998</c:v>
                </c:pt>
                <c:pt idx="17">
                  <c:v>3.995359999999998</c:v>
                </c:pt>
                <c:pt idx="18">
                  <c:v>4.0259600000000004</c:v>
                </c:pt>
                <c:pt idx="19">
                  <c:v>4.0575699999999966</c:v>
                </c:pt>
                <c:pt idx="20">
                  <c:v>4.0903900000000002</c:v>
                </c:pt>
                <c:pt idx="21">
                  <c:v>4.1131499999999974</c:v>
                </c:pt>
                <c:pt idx="22">
                  <c:v>4.1248099999999877</c:v>
                </c:pt>
                <c:pt idx="23">
                  <c:v>4.1270999999999907</c:v>
                </c:pt>
                <c:pt idx="24">
                  <c:v>4.1184900000000004</c:v>
                </c:pt>
                <c:pt idx="25">
                  <c:v>4.1129199999999857</c:v>
                </c:pt>
                <c:pt idx="26">
                  <c:v>4.1098800000000004</c:v>
                </c:pt>
                <c:pt idx="27">
                  <c:v>4.0994700000000002</c:v>
                </c:pt>
                <c:pt idx="28">
                  <c:v>4.0888200000000001</c:v>
                </c:pt>
                <c:pt idx="29">
                  <c:v>4.0892799999999996</c:v>
                </c:pt>
                <c:pt idx="30">
                  <c:v>4.0916800000000002</c:v>
                </c:pt>
                <c:pt idx="31">
                  <c:v>4.0946400000000001</c:v>
                </c:pt>
                <c:pt idx="32">
                  <c:v>4.0943799999999966</c:v>
                </c:pt>
                <c:pt idx="33">
                  <c:v>4.0928699999999996</c:v>
                </c:pt>
                <c:pt idx="34">
                  <c:v>4.0860799999999999</c:v>
                </c:pt>
                <c:pt idx="35">
                  <c:v>4.0900699999999999</c:v>
                </c:pt>
              </c:numCache>
            </c:numRef>
          </c:val>
          <c:smooth val="0"/>
        </c:ser>
        <c:dLbls>
          <c:showLegendKey val="0"/>
          <c:showVal val="0"/>
          <c:showCatName val="0"/>
          <c:showSerName val="0"/>
          <c:showPercent val="0"/>
          <c:showBubbleSize val="0"/>
        </c:dLbls>
        <c:smooth val="0"/>
        <c:axId val="200219296"/>
        <c:axId val="200219856"/>
      </c:lineChart>
      <c:catAx>
        <c:axId val="200219296"/>
        <c:scaling>
          <c:orientation val="minMax"/>
        </c:scaling>
        <c:delete val="0"/>
        <c:axPos val="b"/>
        <c:numFmt formatCode="General" sourceLinked="1"/>
        <c:majorTickMark val="out"/>
        <c:minorTickMark val="none"/>
        <c:tickLblPos val="nextTo"/>
        <c:crossAx val="200219856"/>
        <c:crosses val="autoZero"/>
        <c:auto val="1"/>
        <c:lblAlgn val="ctr"/>
        <c:lblOffset val="100"/>
        <c:noMultiLvlLbl val="0"/>
      </c:catAx>
      <c:valAx>
        <c:axId val="200219856"/>
        <c:scaling>
          <c:orientation val="minMax"/>
          <c:max val="6"/>
          <c:min val="3"/>
        </c:scaling>
        <c:delete val="0"/>
        <c:axPos val="l"/>
        <c:majorGridlines/>
        <c:title>
          <c:tx>
            <c:rich>
              <a:bodyPr rot="-5400000" vert="horz"/>
              <a:lstStyle/>
              <a:p>
                <a:pPr>
                  <a:defRPr/>
                </a:pPr>
                <a:r>
                  <a:rPr lang="en-US"/>
                  <a:t>Quad Btu</a:t>
                </a:r>
              </a:p>
            </c:rich>
          </c:tx>
          <c:layout/>
          <c:overlay val="0"/>
        </c:title>
        <c:numFmt formatCode="General" sourceLinked="1"/>
        <c:majorTickMark val="out"/>
        <c:minorTickMark val="none"/>
        <c:tickLblPos val="nextTo"/>
        <c:crossAx val="200219296"/>
        <c:crosses val="autoZero"/>
        <c:crossBetween val="between"/>
      </c:valAx>
    </c:plotArea>
    <c:legend>
      <c:legendPos val="l"/>
      <c:layout>
        <c:manualLayout>
          <c:xMode val="edge"/>
          <c:yMode val="edge"/>
          <c:x val="0.16111111111111101"/>
          <c:y val="0.222396471274424"/>
          <c:w val="0.32222222222222202"/>
          <c:h val="0.16354039078448501"/>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U.S. Total</a:t>
            </a:r>
          </a:p>
        </c:rich>
      </c:tx>
      <c:layout/>
      <c:overlay val="0"/>
    </c:title>
    <c:autoTitleDeleted val="0"/>
    <c:plotArea>
      <c:layout/>
      <c:lineChart>
        <c:grouping val="standard"/>
        <c:varyColors val="0"/>
        <c:ser>
          <c:idx val="0"/>
          <c:order val="0"/>
          <c:tx>
            <c:strRef>
              <c:f>'CO2'!$V$6</c:f>
              <c:strCache>
                <c:ptCount val="1"/>
                <c:pt idx="0">
                  <c:v>Reference</c:v>
                </c:pt>
              </c:strCache>
            </c:strRef>
          </c:tx>
          <c:spPr>
            <a:ln>
              <a:solidFill>
                <a:schemeClr val="tx1"/>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'CO2'!$V$7:$V$42</c:f>
              <c:numCache>
                <c:formatCode>General</c:formatCode>
                <c:ptCount val="36"/>
                <c:pt idx="0">
                  <c:v>5999.1</c:v>
                </c:pt>
                <c:pt idx="1">
                  <c:v>5919.7</c:v>
                </c:pt>
                <c:pt idx="2">
                  <c:v>6023.5</c:v>
                </c:pt>
                <c:pt idx="3">
                  <c:v>5841.4</c:v>
                </c:pt>
                <c:pt idx="4">
                  <c:v>5424.4</c:v>
                </c:pt>
                <c:pt idx="5">
                  <c:v>5623.1</c:v>
                </c:pt>
                <c:pt idx="6">
                  <c:v>5498.1</c:v>
                </c:pt>
                <c:pt idx="7">
                  <c:v>5289.9</c:v>
                </c:pt>
                <c:pt idx="8">
                  <c:v>5419</c:v>
                </c:pt>
                <c:pt idx="9">
                  <c:v>5415.9</c:v>
                </c:pt>
                <c:pt idx="10">
                  <c:v>5412.3</c:v>
                </c:pt>
                <c:pt idx="11">
                  <c:v>5376.1</c:v>
                </c:pt>
                <c:pt idx="12">
                  <c:v>5412.4</c:v>
                </c:pt>
                <c:pt idx="13">
                  <c:v>5450.8</c:v>
                </c:pt>
                <c:pt idx="14">
                  <c:v>5469.1</c:v>
                </c:pt>
                <c:pt idx="15">
                  <c:v>5473.2</c:v>
                </c:pt>
                <c:pt idx="16">
                  <c:v>5488.5</c:v>
                </c:pt>
                <c:pt idx="17">
                  <c:v>5498</c:v>
                </c:pt>
                <c:pt idx="18">
                  <c:v>5507.3</c:v>
                </c:pt>
                <c:pt idx="19">
                  <c:v>5519</c:v>
                </c:pt>
                <c:pt idx="20">
                  <c:v>5523.4</c:v>
                </c:pt>
                <c:pt idx="21">
                  <c:v>5526.7</c:v>
                </c:pt>
                <c:pt idx="22">
                  <c:v>5530.7</c:v>
                </c:pt>
                <c:pt idx="23">
                  <c:v>5528.8</c:v>
                </c:pt>
                <c:pt idx="24">
                  <c:v>5525.9</c:v>
                </c:pt>
                <c:pt idx="25">
                  <c:v>5527.1</c:v>
                </c:pt>
                <c:pt idx="26">
                  <c:v>5525.8</c:v>
                </c:pt>
                <c:pt idx="27">
                  <c:v>5526.2</c:v>
                </c:pt>
                <c:pt idx="28">
                  <c:v>5532.2</c:v>
                </c:pt>
                <c:pt idx="29">
                  <c:v>5541.3</c:v>
                </c:pt>
                <c:pt idx="30">
                  <c:v>5548</c:v>
                </c:pt>
                <c:pt idx="31">
                  <c:v>5554.8</c:v>
                </c:pt>
                <c:pt idx="32">
                  <c:v>5565</c:v>
                </c:pt>
                <c:pt idx="33">
                  <c:v>5579.3</c:v>
                </c:pt>
                <c:pt idx="34">
                  <c:v>5589.1</c:v>
                </c:pt>
                <c:pt idx="35">
                  <c:v>5596.9</c:v>
                </c:pt>
              </c:numCache>
            </c:numRef>
          </c:val>
          <c:smooth val="0"/>
        </c:ser>
        <c:ser>
          <c:idx val="1"/>
          <c:order val="1"/>
          <c:tx>
            <c:strRef>
              <c:f>'CO2'!$W$6</c:f>
              <c:strCache>
                <c:ptCount val="1"/>
                <c:pt idx="0">
                  <c:v>Integrated High Efficiency</c:v>
                </c:pt>
              </c:strCache>
            </c:strRef>
          </c:tx>
          <c:spPr>
            <a:ln>
              <a:solidFill>
                <a:srgbClr val="008000"/>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'CO2'!$W$7:$W$42</c:f>
              <c:numCache>
                <c:formatCode>General</c:formatCode>
                <c:ptCount val="36"/>
                <c:pt idx="0">
                  <c:v>5999.1</c:v>
                </c:pt>
                <c:pt idx="1">
                  <c:v>5919.7</c:v>
                </c:pt>
                <c:pt idx="2">
                  <c:v>6023.5</c:v>
                </c:pt>
                <c:pt idx="3">
                  <c:v>5841.4</c:v>
                </c:pt>
                <c:pt idx="4">
                  <c:v>5424.4</c:v>
                </c:pt>
                <c:pt idx="5">
                  <c:v>5623.1</c:v>
                </c:pt>
                <c:pt idx="6">
                  <c:v>5498.1</c:v>
                </c:pt>
                <c:pt idx="7">
                  <c:v>5289.9</c:v>
                </c:pt>
                <c:pt idx="8">
                  <c:v>5416.3</c:v>
                </c:pt>
                <c:pt idx="9">
                  <c:v>5333.6</c:v>
                </c:pt>
                <c:pt idx="10">
                  <c:v>5285.6</c:v>
                </c:pt>
                <c:pt idx="11">
                  <c:v>5158</c:v>
                </c:pt>
                <c:pt idx="12">
                  <c:v>5142.8</c:v>
                </c:pt>
                <c:pt idx="13">
                  <c:v>5135</c:v>
                </c:pt>
                <c:pt idx="14">
                  <c:v>5113.7</c:v>
                </c:pt>
                <c:pt idx="15">
                  <c:v>5097.1000000000004</c:v>
                </c:pt>
                <c:pt idx="16">
                  <c:v>5075.5</c:v>
                </c:pt>
                <c:pt idx="17">
                  <c:v>5057.7</c:v>
                </c:pt>
                <c:pt idx="18">
                  <c:v>5047.6000000000004</c:v>
                </c:pt>
                <c:pt idx="19">
                  <c:v>5036.5</c:v>
                </c:pt>
                <c:pt idx="20">
                  <c:v>5025.3999999999996</c:v>
                </c:pt>
                <c:pt idx="21">
                  <c:v>5011.1000000000004</c:v>
                </c:pt>
                <c:pt idx="22">
                  <c:v>4995.3999999999996</c:v>
                </c:pt>
                <c:pt idx="23">
                  <c:v>4982.5</c:v>
                </c:pt>
                <c:pt idx="24">
                  <c:v>4968.2</c:v>
                </c:pt>
                <c:pt idx="25">
                  <c:v>4961.5</c:v>
                </c:pt>
                <c:pt idx="26">
                  <c:v>4957.1000000000004</c:v>
                </c:pt>
                <c:pt idx="27">
                  <c:v>4949.8</c:v>
                </c:pt>
                <c:pt idx="28">
                  <c:v>4945.3</c:v>
                </c:pt>
                <c:pt idx="29">
                  <c:v>4946.7</c:v>
                </c:pt>
                <c:pt idx="30">
                  <c:v>4952.2</c:v>
                </c:pt>
                <c:pt idx="31">
                  <c:v>4958.5</c:v>
                </c:pt>
                <c:pt idx="32">
                  <c:v>4965.8</c:v>
                </c:pt>
                <c:pt idx="33">
                  <c:v>4975.6000000000004</c:v>
                </c:pt>
                <c:pt idx="34">
                  <c:v>4982.8</c:v>
                </c:pt>
                <c:pt idx="35">
                  <c:v>4994.3</c:v>
                </c:pt>
              </c:numCache>
            </c:numRef>
          </c:val>
          <c:smooth val="0"/>
        </c:ser>
        <c:ser>
          <c:idx val="2"/>
          <c:order val="2"/>
          <c:tx>
            <c:strRef>
              <c:f>'CO2'!$X$6</c:f>
              <c:strCache>
                <c:ptCount val="1"/>
                <c:pt idx="0">
                  <c:v>High Tech</c:v>
                </c:pt>
              </c:strCache>
            </c:strRef>
          </c:tx>
          <c:spPr>
            <a:ln>
              <a:solidFill>
                <a:srgbClr val="008000"/>
              </a:solidFill>
              <a:prstDash val="dot"/>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'CO2'!$X$7:$X$42</c:f>
              <c:numCache>
                <c:formatCode>General</c:formatCode>
                <c:ptCount val="36"/>
                <c:pt idx="0">
                  <c:v>5999.1</c:v>
                </c:pt>
                <c:pt idx="1">
                  <c:v>5919.7</c:v>
                </c:pt>
                <c:pt idx="2">
                  <c:v>6023.5</c:v>
                </c:pt>
                <c:pt idx="3">
                  <c:v>5841.4</c:v>
                </c:pt>
                <c:pt idx="4">
                  <c:v>5424.4</c:v>
                </c:pt>
                <c:pt idx="5">
                  <c:v>5623.1</c:v>
                </c:pt>
                <c:pt idx="6">
                  <c:v>5498.1</c:v>
                </c:pt>
                <c:pt idx="7">
                  <c:v>5289.9</c:v>
                </c:pt>
                <c:pt idx="8">
                  <c:v>5418.7</c:v>
                </c:pt>
                <c:pt idx="9">
                  <c:v>5390.6</c:v>
                </c:pt>
                <c:pt idx="10">
                  <c:v>5370.9</c:v>
                </c:pt>
                <c:pt idx="11">
                  <c:v>5317.2</c:v>
                </c:pt>
                <c:pt idx="12">
                  <c:v>5328.9</c:v>
                </c:pt>
                <c:pt idx="13">
                  <c:v>5344.8</c:v>
                </c:pt>
                <c:pt idx="14">
                  <c:v>5341.7</c:v>
                </c:pt>
                <c:pt idx="15">
                  <c:v>5323</c:v>
                </c:pt>
                <c:pt idx="16">
                  <c:v>5312.3</c:v>
                </c:pt>
                <c:pt idx="17">
                  <c:v>5302.9</c:v>
                </c:pt>
                <c:pt idx="18">
                  <c:v>5302.8</c:v>
                </c:pt>
                <c:pt idx="19">
                  <c:v>5300.7</c:v>
                </c:pt>
                <c:pt idx="20">
                  <c:v>5297.4</c:v>
                </c:pt>
                <c:pt idx="21">
                  <c:v>5286.9</c:v>
                </c:pt>
                <c:pt idx="22">
                  <c:v>5283.1</c:v>
                </c:pt>
                <c:pt idx="23">
                  <c:v>5278.1</c:v>
                </c:pt>
                <c:pt idx="24">
                  <c:v>5271.1</c:v>
                </c:pt>
                <c:pt idx="25">
                  <c:v>5266.9</c:v>
                </c:pt>
                <c:pt idx="26">
                  <c:v>5265.5</c:v>
                </c:pt>
                <c:pt idx="27">
                  <c:v>5261.5</c:v>
                </c:pt>
                <c:pt idx="28">
                  <c:v>5258.6</c:v>
                </c:pt>
                <c:pt idx="29">
                  <c:v>5265.7</c:v>
                </c:pt>
                <c:pt idx="30">
                  <c:v>5271.9</c:v>
                </c:pt>
                <c:pt idx="31">
                  <c:v>5279.3</c:v>
                </c:pt>
                <c:pt idx="32">
                  <c:v>5290</c:v>
                </c:pt>
                <c:pt idx="33">
                  <c:v>5299.2</c:v>
                </c:pt>
                <c:pt idx="34">
                  <c:v>5308.6</c:v>
                </c:pt>
                <c:pt idx="35">
                  <c:v>5320.2</c:v>
                </c:pt>
              </c:numCache>
            </c:numRef>
          </c:val>
          <c:smooth val="0"/>
        </c:ser>
        <c:dLbls>
          <c:showLegendKey val="0"/>
          <c:showVal val="0"/>
          <c:showCatName val="0"/>
          <c:showSerName val="0"/>
          <c:showPercent val="0"/>
          <c:showBubbleSize val="0"/>
        </c:dLbls>
        <c:smooth val="0"/>
        <c:axId val="200232640"/>
        <c:axId val="200233200"/>
      </c:lineChart>
      <c:catAx>
        <c:axId val="200232640"/>
        <c:scaling>
          <c:orientation val="minMax"/>
        </c:scaling>
        <c:delete val="0"/>
        <c:axPos val="b"/>
        <c:numFmt formatCode="General" sourceLinked="1"/>
        <c:majorTickMark val="out"/>
        <c:minorTickMark val="none"/>
        <c:tickLblPos val="nextTo"/>
        <c:crossAx val="200233200"/>
        <c:crosses val="autoZero"/>
        <c:auto val="1"/>
        <c:lblAlgn val="ctr"/>
        <c:lblOffset val="100"/>
        <c:noMultiLvlLbl val="0"/>
      </c:catAx>
      <c:valAx>
        <c:axId val="200233200"/>
        <c:scaling>
          <c:orientation val="minMax"/>
        </c:scaling>
        <c:delete val="0"/>
        <c:axPos val="l"/>
        <c:majorGridlines/>
        <c:title>
          <c:tx>
            <c:rich>
              <a:bodyPr rot="-5400000" vert="horz"/>
              <a:lstStyle/>
              <a:p>
                <a:pPr>
                  <a:defRPr/>
                </a:pPr>
                <a:r>
                  <a:rPr lang="en-US"/>
                  <a:t>Million Metric Tons of CO2</a:t>
                </a:r>
              </a:p>
            </c:rich>
          </c:tx>
          <c:layout/>
          <c:overlay val="0"/>
        </c:title>
        <c:numFmt formatCode="General" sourceLinked="1"/>
        <c:majorTickMark val="out"/>
        <c:minorTickMark val="none"/>
        <c:tickLblPos val="nextTo"/>
        <c:crossAx val="200232640"/>
        <c:crosses val="autoZero"/>
        <c:crossBetween val="between"/>
      </c:valAx>
    </c:plotArea>
    <c:legend>
      <c:legendPos val="l"/>
      <c:layout>
        <c:manualLayout>
          <c:xMode val="edge"/>
          <c:yMode val="edge"/>
          <c:x val="0.16944451993704701"/>
          <c:y val="0.56111632049256499"/>
          <c:w val="0.44973897403081903"/>
          <c:h val="0.24531058617672799"/>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Electric Power</a:t>
            </a:r>
          </a:p>
        </c:rich>
      </c:tx>
      <c:layout/>
      <c:overlay val="0"/>
    </c:title>
    <c:autoTitleDeleted val="0"/>
    <c:plotArea>
      <c:layout/>
      <c:lineChart>
        <c:grouping val="standard"/>
        <c:varyColors val="0"/>
        <c:ser>
          <c:idx val="0"/>
          <c:order val="0"/>
          <c:tx>
            <c:strRef>
              <c:f>'CO2'!$Q$6</c:f>
              <c:strCache>
                <c:ptCount val="1"/>
                <c:pt idx="0">
                  <c:v>Reference</c:v>
                </c:pt>
              </c:strCache>
            </c:strRef>
          </c:tx>
          <c:spPr>
            <a:ln>
              <a:solidFill>
                <a:schemeClr val="tx1"/>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'CO2'!$Q$7:$Q$42</c:f>
              <c:numCache>
                <c:formatCode>General</c:formatCode>
                <c:ptCount val="36"/>
                <c:pt idx="0">
                  <c:v>2416.8000000000002</c:v>
                </c:pt>
                <c:pt idx="1">
                  <c:v>2359.5</c:v>
                </c:pt>
                <c:pt idx="2">
                  <c:v>2425.9</c:v>
                </c:pt>
                <c:pt idx="3">
                  <c:v>2373.6999999999998</c:v>
                </c:pt>
                <c:pt idx="4">
                  <c:v>2158.6</c:v>
                </c:pt>
                <c:pt idx="5">
                  <c:v>2271.1999999999998</c:v>
                </c:pt>
                <c:pt idx="6">
                  <c:v>2170.5</c:v>
                </c:pt>
                <c:pt idx="7">
                  <c:v>2039.2</c:v>
                </c:pt>
                <c:pt idx="8">
                  <c:v>2080.6999999999998</c:v>
                </c:pt>
                <c:pt idx="9">
                  <c:v>2088.4</c:v>
                </c:pt>
                <c:pt idx="10">
                  <c:v>2079.5</c:v>
                </c:pt>
                <c:pt idx="11">
                  <c:v>2019.5</c:v>
                </c:pt>
                <c:pt idx="12">
                  <c:v>2043</c:v>
                </c:pt>
                <c:pt idx="13">
                  <c:v>2082.8000000000002</c:v>
                </c:pt>
                <c:pt idx="14">
                  <c:v>2103.3000000000002</c:v>
                </c:pt>
                <c:pt idx="15">
                  <c:v>2109.3000000000002</c:v>
                </c:pt>
                <c:pt idx="16">
                  <c:v>2127.6999999999998</c:v>
                </c:pt>
                <c:pt idx="17">
                  <c:v>2144.6</c:v>
                </c:pt>
                <c:pt idx="18">
                  <c:v>2159.1999999999998</c:v>
                </c:pt>
                <c:pt idx="19">
                  <c:v>2177.9</c:v>
                </c:pt>
                <c:pt idx="20">
                  <c:v>2190.5</c:v>
                </c:pt>
                <c:pt idx="21">
                  <c:v>2201.6</c:v>
                </c:pt>
                <c:pt idx="22">
                  <c:v>2211</c:v>
                </c:pt>
                <c:pt idx="23">
                  <c:v>2215.6</c:v>
                </c:pt>
                <c:pt idx="24">
                  <c:v>2221.1999999999998</c:v>
                </c:pt>
                <c:pt idx="25">
                  <c:v>2227.3000000000002</c:v>
                </c:pt>
                <c:pt idx="26">
                  <c:v>2229.1</c:v>
                </c:pt>
                <c:pt idx="27">
                  <c:v>2230.5</c:v>
                </c:pt>
                <c:pt idx="28">
                  <c:v>2237</c:v>
                </c:pt>
                <c:pt idx="29">
                  <c:v>2243.6</c:v>
                </c:pt>
                <c:pt idx="30">
                  <c:v>2248</c:v>
                </c:pt>
                <c:pt idx="31">
                  <c:v>2252.1999999999998</c:v>
                </c:pt>
                <c:pt idx="32">
                  <c:v>2255.9</c:v>
                </c:pt>
                <c:pt idx="33">
                  <c:v>2260.6</c:v>
                </c:pt>
                <c:pt idx="34">
                  <c:v>2263.9</c:v>
                </c:pt>
                <c:pt idx="35">
                  <c:v>2267.6999999999998</c:v>
                </c:pt>
              </c:numCache>
            </c:numRef>
          </c:val>
          <c:smooth val="0"/>
        </c:ser>
        <c:ser>
          <c:idx val="1"/>
          <c:order val="1"/>
          <c:tx>
            <c:strRef>
              <c:f>'CO2'!$R$6</c:f>
              <c:strCache>
                <c:ptCount val="1"/>
                <c:pt idx="0">
                  <c:v>Integrated High Efficiency</c:v>
                </c:pt>
              </c:strCache>
            </c:strRef>
          </c:tx>
          <c:spPr>
            <a:ln>
              <a:solidFill>
                <a:schemeClr val="accent4"/>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'CO2'!$R$7:$R$42</c:f>
              <c:numCache>
                <c:formatCode>General</c:formatCode>
                <c:ptCount val="36"/>
                <c:pt idx="0">
                  <c:v>2416.8000000000002</c:v>
                </c:pt>
                <c:pt idx="1">
                  <c:v>2359.5</c:v>
                </c:pt>
                <c:pt idx="2">
                  <c:v>2425.9</c:v>
                </c:pt>
                <c:pt idx="3">
                  <c:v>2373.6999999999998</c:v>
                </c:pt>
                <c:pt idx="4">
                  <c:v>2158.6</c:v>
                </c:pt>
                <c:pt idx="5">
                  <c:v>2271.1999999999998</c:v>
                </c:pt>
                <c:pt idx="6">
                  <c:v>2170.5</c:v>
                </c:pt>
                <c:pt idx="7">
                  <c:v>2039.2</c:v>
                </c:pt>
                <c:pt idx="8">
                  <c:v>2078.1</c:v>
                </c:pt>
                <c:pt idx="9">
                  <c:v>2025.9</c:v>
                </c:pt>
                <c:pt idx="10">
                  <c:v>1989.2</c:v>
                </c:pt>
                <c:pt idx="11">
                  <c:v>1856.7</c:v>
                </c:pt>
                <c:pt idx="12">
                  <c:v>1842.9</c:v>
                </c:pt>
                <c:pt idx="13">
                  <c:v>1847.9</c:v>
                </c:pt>
                <c:pt idx="14">
                  <c:v>1843.5</c:v>
                </c:pt>
                <c:pt idx="15">
                  <c:v>1840.2</c:v>
                </c:pt>
                <c:pt idx="16">
                  <c:v>1831</c:v>
                </c:pt>
                <c:pt idx="17">
                  <c:v>1830.9</c:v>
                </c:pt>
                <c:pt idx="18">
                  <c:v>1839.2</c:v>
                </c:pt>
                <c:pt idx="19">
                  <c:v>1844.5</c:v>
                </c:pt>
                <c:pt idx="20">
                  <c:v>1850</c:v>
                </c:pt>
                <c:pt idx="21">
                  <c:v>1851.8</c:v>
                </c:pt>
                <c:pt idx="22">
                  <c:v>1852.3</c:v>
                </c:pt>
                <c:pt idx="23">
                  <c:v>1853.5</c:v>
                </c:pt>
                <c:pt idx="24">
                  <c:v>1852</c:v>
                </c:pt>
                <c:pt idx="25">
                  <c:v>1854.2</c:v>
                </c:pt>
                <c:pt idx="26">
                  <c:v>1855.9</c:v>
                </c:pt>
                <c:pt idx="27">
                  <c:v>1856</c:v>
                </c:pt>
                <c:pt idx="28">
                  <c:v>1855</c:v>
                </c:pt>
                <c:pt idx="29">
                  <c:v>1857.3</c:v>
                </c:pt>
                <c:pt idx="30">
                  <c:v>1861.4</c:v>
                </c:pt>
                <c:pt idx="31">
                  <c:v>1864.6</c:v>
                </c:pt>
                <c:pt idx="32">
                  <c:v>1869.9</c:v>
                </c:pt>
                <c:pt idx="33">
                  <c:v>1874.8</c:v>
                </c:pt>
                <c:pt idx="34">
                  <c:v>1877.8</c:v>
                </c:pt>
                <c:pt idx="35">
                  <c:v>1882.5</c:v>
                </c:pt>
              </c:numCache>
            </c:numRef>
          </c:val>
          <c:smooth val="0"/>
        </c:ser>
        <c:ser>
          <c:idx val="2"/>
          <c:order val="2"/>
          <c:tx>
            <c:strRef>
              <c:f>'CO2'!$S$6</c:f>
              <c:strCache>
                <c:ptCount val="1"/>
                <c:pt idx="0">
                  <c:v>High Tech</c:v>
                </c:pt>
              </c:strCache>
            </c:strRef>
          </c:tx>
          <c:spPr>
            <a:ln>
              <a:solidFill>
                <a:schemeClr val="accent4"/>
              </a:solidFill>
              <a:prstDash val="dot"/>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'CO2'!$S$7:$S$42</c:f>
              <c:numCache>
                <c:formatCode>General</c:formatCode>
                <c:ptCount val="36"/>
                <c:pt idx="0">
                  <c:v>2416.8000000000002</c:v>
                </c:pt>
                <c:pt idx="1">
                  <c:v>2359.5</c:v>
                </c:pt>
                <c:pt idx="2">
                  <c:v>2425.9</c:v>
                </c:pt>
                <c:pt idx="3">
                  <c:v>2373.6999999999998</c:v>
                </c:pt>
                <c:pt idx="4">
                  <c:v>2158.6</c:v>
                </c:pt>
                <c:pt idx="5">
                  <c:v>2271.1999999999998</c:v>
                </c:pt>
                <c:pt idx="6">
                  <c:v>2170.5</c:v>
                </c:pt>
                <c:pt idx="7">
                  <c:v>2039.2</c:v>
                </c:pt>
                <c:pt idx="8">
                  <c:v>2080.4</c:v>
                </c:pt>
                <c:pt idx="9">
                  <c:v>2072.1999999999998</c:v>
                </c:pt>
                <c:pt idx="10">
                  <c:v>2052.6</c:v>
                </c:pt>
                <c:pt idx="11">
                  <c:v>1981.9</c:v>
                </c:pt>
                <c:pt idx="12">
                  <c:v>1985.9</c:v>
                </c:pt>
                <c:pt idx="13">
                  <c:v>2007.6</c:v>
                </c:pt>
                <c:pt idx="14">
                  <c:v>2013.1</c:v>
                </c:pt>
                <c:pt idx="15">
                  <c:v>1999.6</c:v>
                </c:pt>
                <c:pt idx="16">
                  <c:v>1993.7</c:v>
                </c:pt>
                <c:pt idx="17">
                  <c:v>1995.8</c:v>
                </c:pt>
                <c:pt idx="18">
                  <c:v>2007.1</c:v>
                </c:pt>
                <c:pt idx="19">
                  <c:v>2016</c:v>
                </c:pt>
                <c:pt idx="20">
                  <c:v>2021.5</c:v>
                </c:pt>
                <c:pt idx="21">
                  <c:v>2021.6</c:v>
                </c:pt>
                <c:pt idx="22">
                  <c:v>2027.4</c:v>
                </c:pt>
                <c:pt idx="23">
                  <c:v>2032</c:v>
                </c:pt>
                <c:pt idx="24">
                  <c:v>2033.4</c:v>
                </c:pt>
                <c:pt idx="25">
                  <c:v>2034.4</c:v>
                </c:pt>
                <c:pt idx="26">
                  <c:v>2035.6</c:v>
                </c:pt>
                <c:pt idx="27">
                  <c:v>2036.6</c:v>
                </c:pt>
                <c:pt idx="28">
                  <c:v>2036</c:v>
                </c:pt>
                <c:pt idx="29">
                  <c:v>2040</c:v>
                </c:pt>
                <c:pt idx="30">
                  <c:v>2043</c:v>
                </c:pt>
                <c:pt idx="31">
                  <c:v>2045.9</c:v>
                </c:pt>
                <c:pt idx="32">
                  <c:v>2050.5</c:v>
                </c:pt>
                <c:pt idx="33">
                  <c:v>2052.8000000000002</c:v>
                </c:pt>
                <c:pt idx="34">
                  <c:v>2055.6999999999998</c:v>
                </c:pt>
                <c:pt idx="35">
                  <c:v>2060.4</c:v>
                </c:pt>
              </c:numCache>
            </c:numRef>
          </c:val>
          <c:smooth val="0"/>
        </c:ser>
        <c:dLbls>
          <c:showLegendKey val="0"/>
          <c:showVal val="0"/>
          <c:showCatName val="0"/>
          <c:showSerName val="0"/>
          <c:showPercent val="0"/>
          <c:showBubbleSize val="0"/>
        </c:dLbls>
        <c:smooth val="0"/>
        <c:axId val="270536112"/>
        <c:axId val="270536672"/>
      </c:lineChart>
      <c:catAx>
        <c:axId val="270536112"/>
        <c:scaling>
          <c:orientation val="minMax"/>
        </c:scaling>
        <c:delete val="0"/>
        <c:axPos val="b"/>
        <c:numFmt formatCode="General" sourceLinked="1"/>
        <c:majorTickMark val="out"/>
        <c:minorTickMark val="none"/>
        <c:tickLblPos val="nextTo"/>
        <c:crossAx val="270536672"/>
        <c:crosses val="autoZero"/>
        <c:auto val="1"/>
        <c:lblAlgn val="ctr"/>
        <c:lblOffset val="100"/>
        <c:noMultiLvlLbl val="0"/>
      </c:catAx>
      <c:valAx>
        <c:axId val="270536672"/>
        <c:scaling>
          <c:orientation val="minMax"/>
        </c:scaling>
        <c:delete val="0"/>
        <c:axPos val="l"/>
        <c:majorGridlines/>
        <c:title>
          <c:tx>
            <c:rich>
              <a:bodyPr rot="-5400000" vert="horz"/>
              <a:lstStyle/>
              <a:p>
                <a:pPr>
                  <a:defRPr/>
                </a:pPr>
                <a:r>
                  <a:rPr lang="en-US"/>
                  <a:t>Million Metric Tons of CO2</a:t>
                </a:r>
              </a:p>
            </c:rich>
          </c:tx>
          <c:layout/>
          <c:overlay val="0"/>
        </c:title>
        <c:numFmt formatCode="General" sourceLinked="1"/>
        <c:majorTickMark val="out"/>
        <c:minorTickMark val="none"/>
        <c:tickLblPos val="nextTo"/>
        <c:crossAx val="270536112"/>
        <c:crosses val="autoZero"/>
        <c:crossBetween val="between"/>
      </c:valAx>
    </c:plotArea>
    <c:legend>
      <c:legendPos val="l"/>
      <c:layout>
        <c:manualLayout>
          <c:xMode val="edge"/>
          <c:yMode val="edge"/>
          <c:x val="0.16353961069303899"/>
          <c:y val="0.56932757000880496"/>
          <c:w val="0.47001155413589202"/>
          <c:h val="0.24531058617672799"/>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Residential</a:t>
            </a:r>
          </a:p>
        </c:rich>
      </c:tx>
      <c:layout/>
      <c:overlay val="0"/>
    </c:title>
    <c:autoTitleDeleted val="0"/>
    <c:plotArea>
      <c:layout/>
      <c:lineChart>
        <c:grouping val="standard"/>
        <c:varyColors val="0"/>
        <c:ser>
          <c:idx val="0"/>
          <c:order val="0"/>
          <c:tx>
            <c:strRef>
              <c:f>'CO2'!$B$6</c:f>
              <c:strCache>
                <c:ptCount val="1"/>
                <c:pt idx="0">
                  <c:v>Reference</c:v>
                </c:pt>
              </c:strCache>
            </c:strRef>
          </c:tx>
          <c:spPr>
            <a:ln>
              <a:solidFill>
                <a:schemeClr val="tx1"/>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'CO2'!$B$7:$B$42</c:f>
              <c:numCache>
                <c:formatCode>General</c:formatCode>
                <c:ptCount val="36"/>
                <c:pt idx="0">
                  <c:v>1261.8</c:v>
                </c:pt>
                <c:pt idx="1">
                  <c:v>1192.3</c:v>
                </c:pt>
                <c:pt idx="2">
                  <c:v>1241.5999999999999</c:v>
                </c:pt>
                <c:pt idx="3">
                  <c:v>1235.2</c:v>
                </c:pt>
                <c:pt idx="4">
                  <c:v>1157.7</c:v>
                </c:pt>
                <c:pt idx="5">
                  <c:v>1210.5999999999999</c:v>
                </c:pt>
                <c:pt idx="6">
                  <c:v>1150.4000000000001</c:v>
                </c:pt>
                <c:pt idx="7">
                  <c:v>1055.9000000000001</c:v>
                </c:pt>
                <c:pt idx="8">
                  <c:v>1111.4000000000001</c:v>
                </c:pt>
                <c:pt idx="9">
                  <c:v>1099.2</c:v>
                </c:pt>
                <c:pt idx="10">
                  <c:v>1077.4000000000001</c:v>
                </c:pt>
                <c:pt idx="11">
                  <c:v>1046.5999999999999</c:v>
                </c:pt>
                <c:pt idx="12">
                  <c:v>1047.7</c:v>
                </c:pt>
                <c:pt idx="13">
                  <c:v>1055.7</c:v>
                </c:pt>
                <c:pt idx="14">
                  <c:v>1059.7</c:v>
                </c:pt>
                <c:pt idx="15">
                  <c:v>1053.2</c:v>
                </c:pt>
                <c:pt idx="16">
                  <c:v>1054.4000000000001</c:v>
                </c:pt>
                <c:pt idx="17">
                  <c:v>1056.0999999999999</c:v>
                </c:pt>
                <c:pt idx="18">
                  <c:v>1057.9000000000001</c:v>
                </c:pt>
                <c:pt idx="19">
                  <c:v>1061.9000000000001</c:v>
                </c:pt>
                <c:pt idx="20">
                  <c:v>1063.2</c:v>
                </c:pt>
                <c:pt idx="21">
                  <c:v>1065.2</c:v>
                </c:pt>
                <c:pt idx="22">
                  <c:v>1067.4000000000001</c:v>
                </c:pt>
                <c:pt idx="23">
                  <c:v>1068.2</c:v>
                </c:pt>
                <c:pt idx="24">
                  <c:v>1070.2</c:v>
                </c:pt>
                <c:pt idx="25">
                  <c:v>1071.7</c:v>
                </c:pt>
                <c:pt idx="26">
                  <c:v>1072.0999999999999</c:v>
                </c:pt>
                <c:pt idx="27">
                  <c:v>1072.4000000000001</c:v>
                </c:pt>
                <c:pt idx="28">
                  <c:v>1074.4000000000001</c:v>
                </c:pt>
                <c:pt idx="29">
                  <c:v>1076.0999999999999</c:v>
                </c:pt>
                <c:pt idx="30">
                  <c:v>1076.8</c:v>
                </c:pt>
                <c:pt idx="31">
                  <c:v>1077.0999999999999</c:v>
                </c:pt>
                <c:pt idx="32">
                  <c:v>1077.2</c:v>
                </c:pt>
                <c:pt idx="33">
                  <c:v>1078.0999999999999</c:v>
                </c:pt>
                <c:pt idx="34">
                  <c:v>1078.9000000000001</c:v>
                </c:pt>
                <c:pt idx="35">
                  <c:v>1080</c:v>
                </c:pt>
              </c:numCache>
            </c:numRef>
          </c:val>
          <c:smooth val="0"/>
        </c:ser>
        <c:ser>
          <c:idx val="1"/>
          <c:order val="1"/>
          <c:tx>
            <c:strRef>
              <c:f>'CO2'!$C$6</c:f>
              <c:strCache>
                <c:ptCount val="1"/>
                <c:pt idx="0">
                  <c:v>Integrated High Efficiency</c:v>
                </c:pt>
              </c:strCache>
            </c:strRef>
          </c:tx>
          <c:spPr>
            <a:ln>
              <a:solidFill>
                <a:schemeClr val="accent3"/>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'CO2'!$C$7:$C$42</c:f>
              <c:numCache>
                <c:formatCode>General</c:formatCode>
                <c:ptCount val="36"/>
                <c:pt idx="0">
                  <c:v>1261.8</c:v>
                </c:pt>
                <c:pt idx="1">
                  <c:v>1192.3</c:v>
                </c:pt>
                <c:pt idx="2">
                  <c:v>1241.5999999999999</c:v>
                </c:pt>
                <c:pt idx="3">
                  <c:v>1235.2</c:v>
                </c:pt>
                <c:pt idx="4">
                  <c:v>1157.7</c:v>
                </c:pt>
                <c:pt idx="5">
                  <c:v>1210.5999999999999</c:v>
                </c:pt>
                <c:pt idx="6">
                  <c:v>1150.4000000000001</c:v>
                </c:pt>
                <c:pt idx="7">
                  <c:v>1055.9000000000001</c:v>
                </c:pt>
                <c:pt idx="8">
                  <c:v>1110.4000000000001</c:v>
                </c:pt>
                <c:pt idx="9">
                  <c:v>1048.7</c:v>
                </c:pt>
                <c:pt idx="10">
                  <c:v>1004.1</c:v>
                </c:pt>
                <c:pt idx="11">
                  <c:v>925.35799999999836</c:v>
                </c:pt>
                <c:pt idx="12">
                  <c:v>901.625</c:v>
                </c:pt>
                <c:pt idx="13">
                  <c:v>889.27599999999995</c:v>
                </c:pt>
                <c:pt idx="14">
                  <c:v>877.88300000000004</c:v>
                </c:pt>
                <c:pt idx="15">
                  <c:v>867.39400000000001</c:v>
                </c:pt>
                <c:pt idx="16">
                  <c:v>855.18</c:v>
                </c:pt>
                <c:pt idx="17">
                  <c:v>847.03599999999938</c:v>
                </c:pt>
                <c:pt idx="18">
                  <c:v>842.50300000000004</c:v>
                </c:pt>
                <c:pt idx="19">
                  <c:v>837.78499999999997</c:v>
                </c:pt>
                <c:pt idx="20">
                  <c:v>833.68399999999997</c:v>
                </c:pt>
                <c:pt idx="21">
                  <c:v>829.70799999999997</c:v>
                </c:pt>
                <c:pt idx="22">
                  <c:v>826.19600000000003</c:v>
                </c:pt>
                <c:pt idx="23">
                  <c:v>823.73099999999999</c:v>
                </c:pt>
                <c:pt idx="24">
                  <c:v>821.41300000000001</c:v>
                </c:pt>
                <c:pt idx="25">
                  <c:v>820.41599999999937</c:v>
                </c:pt>
                <c:pt idx="26">
                  <c:v>819.48</c:v>
                </c:pt>
                <c:pt idx="27">
                  <c:v>818.24300000000005</c:v>
                </c:pt>
                <c:pt idx="28">
                  <c:v>816.44599999999912</c:v>
                </c:pt>
                <c:pt idx="29">
                  <c:v>815.48599999999999</c:v>
                </c:pt>
                <c:pt idx="30">
                  <c:v>815.53599999999938</c:v>
                </c:pt>
                <c:pt idx="31">
                  <c:v>815.49300000000005</c:v>
                </c:pt>
                <c:pt idx="32">
                  <c:v>816.245</c:v>
                </c:pt>
                <c:pt idx="33">
                  <c:v>817.09</c:v>
                </c:pt>
                <c:pt idx="34">
                  <c:v>817.74400000000003</c:v>
                </c:pt>
                <c:pt idx="35">
                  <c:v>819.30599999999936</c:v>
                </c:pt>
              </c:numCache>
            </c:numRef>
          </c:val>
          <c:smooth val="0"/>
        </c:ser>
        <c:ser>
          <c:idx val="2"/>
          <c:order val="2"/>
          <c:tx>
            <c:strRef>
              <c:f>'CO2'!$D$6</c:f>
              <c:strCache>
                <c:ptCount val="1"/>
                <c:pt idx="0">
                  <c:v>High Tech</c:v>
                </c:pt>
              </c:strCache>
            </c:strRef>
          </c:tx>
          <c:spPr>
            <a:ln>
              <a:prstDash val="dot"/>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'CO2'!$D$7:$D$42</c:f>
              <c:numCache>
                <c:formatCode>General</c:formatCode>
                <c:ptCount val="36"/>
                <c:pt idx="0">
                  <c:v>1261.8</c:v>
                </c:pt>
                <c:pt idx="1">
                  <c:v>1192.3</c:v>
                </c:pt>
                <c:pt idx="2">
                  <c:v>1241.5999999999999</c:v>
                </c:pt>
                <c:pt idx="3">
                  <c:v>1235.2</c:v>
                </c:pt>
                <c:pt idx="4">
                  <c:v>1157.7</c:v>
                </c:pt>
                <c:pt idx="5">
                  <c:v>1210.5999999999999</c:v>
                </c:pt>
                <c:pt idx="6">
                  <c:v>1150.4000000000001</c:v>
                </c:pt>
                <c:pt idx="7">
                  <c:v>1055.9000000000001</c:v>
                </c:pt>
                <c:pt idx="8">
                  <c:v>1111.3</c:v>
                </c:pt>
                <c:pt idx="9">
                  <c:v>1085.5999999999999</c:v>
                </c:pt>
                <c:pt idx="10">
                  <c:v>1058.2</c:v>
                </c:pt>
                <c:pt idx="11">
                  <c:v>1020.8</c:v>
                </c:pt>
                <c:pt idx="12">
                  <c:v>1011.4</c:v>
                </c:pt>
                <c:pt idx="13">
                  <c:v>1008.6</c:v>
                </c:pt>
                <c:pt idx="14">
                  <c:v>999.86799999999846</c:v>
                </c:pt>
                <c:pt idx="15">
                  <c:v>978.83900000000006</c:v>
                </c:pt>
                <c:pt idx="16">
                  <c:v>965.55599999999936</c:v>
                </c:pt>
                <c:pt idx="17">
                  <c:v>958.625</c:v>
                </c:pt>
                <c:pt idx="18">
                  <c:v>956.37300000000005</c:v>
                </c:pt>
                <c:pt idx="19">
                  <c:v>955.09900000000005</c:v>
                </c:pt>
                <c:pt idx="20">
                  <c:v>953.30799999999897</c:v>
                </c:pt>
                <c:pt idx="21">
                  <c:v>951.13900000000001</c:v>
                </c:pt>
                <c:pt idx="22">
                  <c:v>951.61199999999997</c:v>
                </c:pt>
                <c:pt idx="23">
                  <c:v>952.52199999999937</c:v>
                </c:pt>
                <c:pt idx="24">
                  <c:v>953.31599999999912</c:v>
                </c:pt>
                <c:pt idx="25">
                  <c:v>954.55099999999936</c:v>
                </c:pt>
                <c:pt idx="26">
                  <c:v>955.84999999999911</c:v>
                </c:pt>
                <c:pt idx="27">
                  <c:v>957.05999999999938</c:v>
                </c:pt>
                <c:pt idx="28">
                  <c:v>957.5619999999991</c:v>
                </c:pt>
                <c:pt idx="29">
                  <c:v>959.06299999999896</c:v>
                </c:pt>
                <c:pt idx="30">
                  <c:v>960.56399999999996</c:v>
                </c:pt>
                <c:pt idx="31">
                  <c:v>961.80499999999938</c:v>
                </c:pt>
                <c:pt idx="32">
                  <c:v>963.49900000000002</c:v>
                </c:pt>
                <c:pt idx="33">
                  <c:v>964.35699999999872</c:v>
                </c:pt>
                <c:pt idx="34">
                  <c:v>965.51199999999938</c:v>
                </c:pt>
                <c:pt idx="35">
                  <c:v>967.37</c:v>
                </c:pt>
              </c:numCache>
            </c:numRef>
          </c:val>
          <c:smooth val="0"/>
        </c:ser>
        <c:dLbls>
          <c:showLegendKey val="0"/>
          <c:showVal val="0"/>
          <c:showCatName val="0"/>
          <c:showSerName val="0"/>
          <c:showPercent val="0"/>
          <c:showBubbleSize val="0"/>
        </c:dLbls>
        <c:smooth val="0"/>
        <c:axId val="270651408"/>
        <c:axId val="270651968"/>
      </c:lineChart>
      <c:catAx>
        <c:axId val="270651408"/>
        <c:scaling>
          <c:orientation val="minMax"/>
        </c:scaling>
        <c:delete val="0"/>
        <c:axPos val="b"/>
        <c:numFmt formatCode="General" sourceLinked="1"/>
        <c:majorTickMark val="out"/>
        <c:minorTickMark val="none"/>
        <c:tickLblPos val="nextTo"/>
        <c:crossAx val="270651968"/>
        <c:crosses val="autoZero"/>
        <c:auto val="1"/>
        <c:lblAlgn val="ctr"/>
        <c:lblOffset val="100"/>
        <c:noMultiLvlLbl val="0"/>
      </c:catAx>
      <c:valAx>
        <c:axId val="270651968"/>
        <c:scaling>
          <c:orientation val="minMax"/>
        </c:scaling>
        <c:delete val="0"/>
        <c:axPos val="l"/>
        <c:majorGridlines/>
        <c:title>
          <c:tx>
            <c:rich>
              <a:bodyPr rot="-5400000" vert="horz"/>
              <a:lstStyle/>
              <a:p>
                <a:pPr>
                  <a:defRPr/>
                </a:pPr>
                <a:r>
                  <a:rPr lang="en-US"/>
                  <a:t>Million Metric Tons of CO2</a:t>
                </a:r>
              </a:p>
            </c:rich>
          </c:tx>
          <c:layout/>
          <c:overlay val="0"/>
        </c:title>
        <c:numFmt formatCode="General" sourceLinked="1"/>
        <c:majorTickMark val="out"/>
        <c:minorTickMark val="none"/>
        <c:tickLblPos val="nextTo"/>
        <c:crossAx val="270651408"/>
        <c:crosses val="autoZero"/>
        <c:crossBetween val="between"/>
      </c:valAx>
    </c:plotArea>
    <c:legend>
      <c:legendPos val="l"/>
      <c:layout>
        <c:manualLayout>
          <c:xMode val="edge"/>
          <c:yMode val="edge"/>
          <c:x val="0.18028180182085099"/>
          <c:y val="0.53195818340144596"/>
          <c:w val="0.40713851491786002"/>
          <c:h val="0.24531058617672799"/>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Commercial</a:t>
            </a:r>
          </a:p>
        </c:rich>
      </c:tx>
      <c:layout/>
      <c:overlay val="0"/>
    </c:title>
    <c:autoTitleDeleted val="0"/>
    <c:plotArea>
      <c:layout/>
      <c:lineChart>
        <c:grouping val="standard"/>
        <c:varyColors val="0"/>
        <c:ser>
          <c:idx val="0"/>
          <c:order val="0"/>
          <c:tx>
            <c:strRef>
              <c:f>'CO2'!$G$6</c:f>
              <c:strCache>
                <c:ptCount val="1"/>
                <c:pt idx="0">
                  <c:v>Reference</c:v>
                </c:pt>
              </c:strCache>
            </c:strRef>
          </c:tx>
          <c:spPr>
            <a:ln>
              <a:solidFill>
                <a:schemeClr val="tx1"/>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'CO2'!$G$7:$G$42</c:f>
              <c:numCache>
                <c:formatCode>General</c:formatCode>
                <c:ptCount val="36"/>
                <c:pt idx="0">
                  <c:v>1069.3</c:v>
                </c:pt>
                <c:pt idx="1">
                  <c:v>1043.7</c:v>
                </c:pt>
                <c:pt idx="2">
                  <c:v>1078.5</c:v>
                </c:pt>
                <c:pt idx="3">
                  <c:v>1075.5999999999999</c:v>
                </c:pt>
                <c:pt idx="4">
                  <c:v>1008</c:v>
                </c:pt>
                <c:pt idx="5">
                  <c:v>1025.5</c:v>
                </c:pt>
                <c:pt idx="6">
                  <c:v>992.32099999999889</c:v>
                </c:pt>
                <c:pt idx="7">
                  <c:v>938.58600000000001</c:v>
                </c:pt>
                <c:pt idx="8">
                  <c:v>970.23500000000001</c:v>
                </c:pt>
                <c:pt idx="9">
                  <c:v>957.41300000000001</c:v>
                </c:pt>
                <c:pt idx="10">
                  <c:v>946.93099999999936</c:v>
                </c:pt>
                <c:pt idx="11">
                  <c:v>921.28800000000001</c:v>
                </c:pt>
                <c:pt idx="12">
                  <c:v>925.38800000000003</c:v>
                </c:pt>
                <c:pt idx="13">
                  <c:v>936.84199999999862</c:v>
                </c:pt>
                <c:pt idx="14">
                  <c:v>944.601</c:v>
                </c:pt>
                <c:pt idx="15">
                  <c:v>949.92599999999936</c:v>
                </c:pt>
                <c:pt idx="16">
                  <c:v>958</c:v>
                </c:pt>
                <c:pt idx="17">
                  <c:v>965.30699999999888</c:v>
                </c:pt>
                <c:pt idx="18">
                  <c:v>971.94399999999996</c:v>
                </c:pt>
                <c:pt idx="19">
                  <c:v>979.49</c:v>
                </c:pt>
                <c:pt idx="20">
                  <c:v>985.21699999999998</c:v>
                </c:pt>
                <c:pt idx="21">
                  <c:v>991.15800000000002</c:v>
                </c:pt>
                <c:pt idx="22">
                  <c:v>996.779</c:v>
                </c:pt>
                <c:pt idx="23">
                  <c:v>1001.2</c:v>
                </c:pt>
                <c:pt idx="24">
                  <c:v>1006.2</c:v>
                </c:pt>
                <c:pt idx="25">
                  <c:v>1010.7</c:v>
                </c:pt>
                <c:pt idx="26">
                  <c:v>1014.5</c:v>
                </c:pt>
                <c:pt idx="27">
                  <c:v>1019.2</c:v>
                </c:pt>
                <c:pt idx="28">
                  <c:v>1026</c:v>
                </c:pt>
                <c:pt idx="29">
                  <c:v>1032.8</c:v>
                </c:pt>
                <c:pt idx="30">
                  <c:v>1038.5999999999999</c:v>
                </c:pt>
                <c:pt idx="31">
                  <c:v>1044.4000000000001</c:v>
                </c:pt>
                <c:pt idx="32">
                  <c:v>1050.2</c:v>
                </c:pt>
                <c:pt idx="33">
                  <c:v>1056.9000000000001</c:v>
                </c:pt>
                <c:pt idx="34">
                  <c:v>1063</c:v>
                </c:pt>
                <c:pt idx="35">
                  <c:v>1068.3</c:v>
                </c:pt>
              </c:numCache>
            </c:numRef>
          </c:val>
          <c:smooth val="0"/>
        </c:ser>
        <c:ser>
          <c:idx val="1"/>
          <c:order val="1"/>
          <c:tx>
            <c:strRef>
              <c:f>'CO2'!$H$6</c:f>
              <c:strCache>
                <c:ptCount val="1"/>
                <c:pt idx="0">
                  <c:v>Integrated High Efficiency</c:v>
                </c:pt>
              </c:strCache>
            </c:strRef>
          </c:tx>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'CO2'!$H$7:$H$42</c:f>
              <c:numCache>
                <c:formatCode>General</c:formatCode>
                <c:ptCount val="36"/>
                <c:pt idx="0">
                  <c:v>1069.3</c:v>
                </c:pt>
                <c:pt idx="1">
                  <c:v>1043.7</c:v>
                </c:pt>
                <c:pt idx="2">
                  <c:v>1078.5</c:v>
                </c:pt>
                <c:pt idx="3">
                  <c:v>1075.5999999999999</c:v>
                </c:pt>
                <c:pt idx="4">
                  <c:v>1008</c:v>
                </c:pt>
                <c:pt idx="5">
                  <c:v>1025.5</c:v>
                </c:pt>
                <c:pt idx="6">
                  <c:v>992.32099999999889</c:v>
                </c:pt>
                <c:pt idx="7">
                  <c:v>938.58600000000001</c:v>
                </c:pt>
                <c:pt idx="8">
                  <c:v>969.29399999999998</c:v>
                </c:pt>
                <c:pt idx="9">
                  <c:v>949.34199999999862</c:v>
                </c:pt>
                <c:pt idx="10">
                  <c:v>933.46400000000006</c:v>
                </c:pt>
                <c:pt idx="11">
                  <c:v>892.84099999999887</c:v>
                </c:pt>
                <c:pt idx="12">
                  <c:v>887.31099999999935</c:v>
                </c:pt>
                <c:pt idx="13">
                  <c:v>887.96599999999887</c:v>
                </c:pt>
                <c:pt idx="14">
                  <c:v>886.59100000000001</c:v>
                </c:pt>
                <c:pt idx="15">
                  <c:v>883.19799999999998</c:v>
                </c:pt>
                <c:pt idx="16">
                  <c:v>878.63199999999938</c:v>
                </c:pt>
                <c:pt idx="17">
                  <c:v>878.59</c:v>
                </c:pt>
                <c:pt idx="18">
                  <c:v>881.774</c:v>
                </c:pt>
                <c:pt idx="19">
                  <c:v>883.48199999999997</c:v>
                </c:pt>
                <c:pt idx="20">
                  <c:v>885.43399999999997</c:v>
                </c:pt>
                <c:pt idx="21">
                  <c:v>886.23699999999997</c:v>
                </c:pt>
                <c:pt idx="22">
                  <c:v>886.68200000000002</c:v>
                </c:pt>
                <c:pt idx="23">
                  <c:v>887.81399999999996</c:v>
                </c:pt>
                <c:pt idx="24">
                  <c:v>888.44399999999996</c:v>
                </c:pt>
                <c:pt idx="25">
                  <c:v>889.88599999999997</c:v>
                </c:pt>
                <c:pt idx="26">
                  <c:v>891.61099999999999</c:v>
                </c:pt>
                <c:pt idx="27">
                  <c:v>893.34899999999936</c:v>
                </c:pt>
                <c:pt idx="28">
                  <c:v>894.58799999999997</c:v>
                </c:pt>
                <c:pt idx="29">
                  <c:v>896.98800000000006</c:v>
                </c:pt>
                <c:pt idx="30">
                  <c:v>900.81599999999889</c:v>
                </c:pt>
                <c:pt idx="31">
                  <c:v>904.86899999999889</c:v>
                </c:pt>
                <c:pt idx="32">
                  <c:v>909.83299999999997</c:v>
                </c:pt>
                <c:pt idx="33">
                  <c:v>914.697</c:v>
                </c:pt>
                <c:pt idx="34">
                  <c:v>919.11199999999997</c:v>
                </c:pt>
                <c:pt idx="35">
                  <c:v>923.9</c:v>
                </c:pt>
              </c:numCache>
            </c:numRef>
          </c:val>
          <c:smooth val="0"/>
        </c:ser>
        <c:ser>
          <c:idx val="2"/>
          <c:order val="2"/>
          <c:tx>
            <c:strRef>
              <c:f>'CO2'!$I$6</c:f>
              <c:strCache>
                <c:ptCount val="1"/>
                <c:pt idx="0">
                  <c:v>High Tech</c:v>
                </c:pt>
              </c:strCache>
            </c:strRef>
          </c:tx>
          <c:spPr>
            <a:ln>
              <a:solidFill>
                <a:schemeClr val="accent2"/>
              </a:solidFill>
              <a:prstDash val="dot"/>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'CO2'!$I$7:$I$42</c:f>
              <c:numCache>
                <c:formatCode>General</c:formatCode>
                <c:ptCount val="36"/>
                <c:pt idx="0">
                  <c:v>1069.3</c:v>
                </c:pt>
                <c:pt idx="1">
                  <c:v>1043.7</c:v>
                </c:pt>
                <c:pt idx="2">
                  <c:v>1078.5</c:v>
                </c:pt>
                <c:pt idx="3">
                  <c:v>1075.5999999999999</c:v>
                </c:pt>
                <c:pt idx="4">
                  <c:v>1008</c:v>
                </c:pt>
                <c:pt idx="5">
                  <c:v>1025.5</c:v>
                </c:pt>
                <c:pt idx="6">
                  <c:v>992.32099999999889</c:v>
                </c:pt>
                <c:pt idx="7">
                  <c:v>938.58600000000001</c:v>
                </c:pt>
                <c:pt idx="8">
                  <c:v>970.13699999999938</c:v>
                </c:pt>
                <c:pt idx="9">
                  <c:v>954.072</c:v>
                </c:pt>
                <c:pt idx="10">
                  <c:v>937.25699999999938</c:v>
                </c:pt>
                <c:pt idx="11">
                  <c:v>906.90499999999997</c:v>
                </c:pt>
                <c:pt idx="12">
                  <c:v>902.93399999999997</c:v>
                </c:pt>
                <c:pt idx="13">
                  <c:v>907.52699999999936</c:v>
                </c:pt>
                <c:pt idx="14">
                  <c:v>910.62900000000002</c:v>
                </c:pt>
                <c:pt idx="15">
                  <c:v>908.71600000000001</c:v>
                </c:pt>
                <c:pt idx="16">
                  <c:v>907.32299999999998</c:v>
                </c:pt>
                <c:pt idx="17">
                  <c:v>907.45399999999995</c:v>
                </c:pt>
                <c:pt idx="18">
                  <c:v>910.18299999999999</c:v>
                </c:pt>
                <c:pt idx="19">
                  <c:v>911.697</c:v>
                </c:pt>
                <c:pt idx="20">
                  <c:v>911.99199999999996</c:v>
                </c:pt>
                <c:pt idx="21">
                  <c:v>910.52099999999996</c:v>
                </c:pt>
                <c:pt idx="22">
                  <c:v>911.21</c:v>
                </c:pt>
                <c:pt idx="23">
                  <c:v>912.12400000000002</c:v>
                </c:pt>
                <c:pt idx="24">
                  <c:v>912.65099999999995</c:v>
                </c:pt>
                <c:pt idx="25">
                  <c:v>912.80099999999936</c:v>
                </c:pt>
                <c:pt idx="26">
                  <c:v>913.35799999999801</c:v>
                </c:pt>
                <c:pt idx="27">
                  <c:v>914.51599999999996</c:v>
                </c:pt>
                <c:pt idx="28">
                  <c:v>915.75199999999995</c:v>
                </c:pt>
                <c:pt idx="29">
                  <c:v>918.745</c:v>
                </c:pt>
                <c:pt idx="30">
                  <c:v>922.1</c:v>
                </c:pt>
                <c:pt idx="31">
                  <c:v>925.85399999999936</c:v>
                </c:pt>
                <c:pt idx="32">
                  <c:v>930.23699999999997</c:v>
                </c:pt>
                <c:pt idx="33">
                  <c:v>933.98</c:v>
                </c:pt>
                <c:pt idx="34">
                  <c:v>937.95699999999874</c:v>
                </c:pt>
                <c:pt idx="35">
                  <c:v>942.529</c:v>
                </c:pt>
              </c:numCache>
            </c:numRef>
          </c:val>
          <c:smooth val="0"/>
        </c:ser>
        <c:dLbls>
          <c:showLegendKey val="0"/>
          <c:showVal val="0"/>
          <c:showCatName val="0"/>
          <c:showSerName val="0"/>
          <c:showPercent val="0"/>
          <c:showBubbleSize val="0"/>
        </c:dLbls>
        <c:smooth val="0"/>
        <c:axId val="199943104"/>
        <c:axId val="199943664"/>
      </c:lineChart>
      <c:catAx>
        <c:axId val="199943104"/>
        <c:scaling>
          <c:orientation val="minMax"/>
        </c:scaling>
        <c:delete val="0"/>
        <c:axPos val="b"/>
        <c:numFmt formatCode="General" sourceLinked="1"/>
        <c:majorTickMark val="out"/>
        <c:minorTickMark val="none"/>
        <c:tickLblPos val="nextTo"/>
        <c:crossAx val="199943664"/>
        <c:crosses val="autoZero"/>
        <c:auto val="1"/>
        <c:lblAlgn val="ctr"/>
        <c:lblOffset val="100"/>
        <c:noMultiLvlLbl val="0"/>
      </c:catAx>
      <c:valAx>
        <c:axId val="199943664"/>
        <c:scaling>
          <c:orientation val="minMax"/>
        </c:scaling>
        <c:delete val="0"/>
        <c:axPos val="l"/>
        <c:majorGridlines/>
        <c:title>
          <c:tx>
            <c:rich>
              <a:bodyPr rot="-5400000" vert="horz"/>
              <a:lstStyle/>
              <a:p>
                <a:pPr>
                  <a:defRPr/>
                </a:pPr>
                <a:r>
                  <a:rPr lang="en-US"/>
                  <a:t>Million Metric Tons of CO2</a:t>
                </a:r>
              </a:p>
            </c:rich>
          </c:tx>
          <c:layout/>
          <c:overlay val="0"/>
        </c:title>
        <c:numFmt formatCode="General" sourceLinked="1"/>
        <c:majorTickMark val="out"/>
        <c:minorTickMark val="none"/>
        <c:tickLblPos val="nextTo"/>
        <c:crossAx val="199943104"/>
        <c:crosses val="autoZero"/>
        <c:crossBetween val="between"/>
      </c:valAx>
    </c:plotArea>
    <c:legend>
      <c:legendPos val="l"/>
      <c:layout>
        <c:manualLayout>
          <c:xMode val="edge"/>
          <c:yMode val="edge"/>
          <c:x val="0.15833333333333299"/>
          <c:y val="0.58609981044036197"/>
          <c:w val="0.343055555555556"/>
          <c:h val="0.24531058617672799"/>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Industrial</a:t>
            </a:r>
          </a:p>
        </c:rich>
      </c:tx>
      <c:layout/>
      <c:overlay val="0"/>
    </c:title>
    <c:autoTitleDeleted val="0"/>
    <c:plotArea>
      <c:layout/>
      <c:lineChart>
        <c:grouping val="standard"/>
        <c:varyColors val="0"/>
        <c:ser>
          <c:idx val="0"/>
          <c:order val="0"/>
          <c:tx>
            <c:strRef>
              <c:f>'CO2'!$L$6</c:f>
              <c:strCache>
                <c:ptCount val="1"/>
                <c:pt idx="0">
                  <c:v>Reference</c:v>
                </c:pt>
              </c:strCache>
            </c:strRef>
          </c:tx>
          <c:spPr>
            <a:ln>
              <a:solidFill>
                <a:srgbClr val="000000"/>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'CO2'!$L$7:$L$42</c:f>
              <c:numCache>
                <c:formatCode>General</c:formatCode>
                <c:ptCount val="36"/>
                <c:pt idx="0">
                  <c:v>1678.2</c:v>
                </c:pt>
                <c:pt idx="1">
                  <c:v>1662.7</c:v>
                </c:pt>
                <c:pt idx="2">
                  <c:v>1664.9</c:v>
                </c:pt>
                <c:pt idx="3">
                  <c:v>1607.5</c:v>
                </c:pt>
                <c:pt idx="4">
                  <c:v>1396.7</c:v>
                </c:pt>
                <c:pt idx="5">
                  <c:v>1501.8</c:v>
                </c:pt>
                <c:pt idx="6">
                  <c:v>1501.2</c:v>
                </c:pt>
                <c:pt idx="7">
                  <c:v>1479.9</c:v>
                </c:pt>
                <c:pt idx="8">
                  <c:v>1523.1</c:v>
                </c:pt>
                <c:pt idx="9">
                  <c:v>1552</c:v>
                </c:pt>
                <c:pt idx="10">
                  <c:v>1581.9</c:v>
                </c:pt>
                <c:pt idx="11">
                  <c:v>1596.5</c:v>
                </c:pt>
                <c:pt idx="12">
                  <c:v>1628.8</c:v>
                </c:pt>
                <c:pt idx="13">
                  <c:v>1654.6</c:v>
                </c:pt>
                <c:pt idx="14">
                  <c:v>1671.2</c:v>
                </c:pt>
                <c:pt idx="15">
                  <c:v>1687.7</c:v>
                </c:pt>
                <c:pt idx="16">
                  <c:v>1704.2</c:v>
                </c:pt>
                <c:pt idx="17">
                  <c:v>1717.4</c:v>
                </c:pt>
                <c:pt idx="18">
                  <c:v>1729.8</c:v>
                </c:pt>
                <c:pt idx="19">
                  <c:v>1742.3</c:v>
                </c:pt>
                <c:pt idx="20">
                  <c:v>1752.2</c:v>
                </c:pt>
                <c:pt idx="21">
                  <c:v>1758.6</c:v>
                </c:pt>
                <c:pt idx="22">
                  <c:v>1764</c:v>
                </c:pt>
                <c:pt idx="23">
                  <c:v>1765.2</c:v>
                </c:pt>
                <c:pt idx="24">
                  <c:v>1761.8</c:v>
                </c:pt>
                <c:pt idx="25">
                  <c:v>1761.5</c:v>
                </c:pt>
                <c:pt idx="26">
                  <c:v>1759.1</c:v>
                </c:pt>
                <c:pt idx="27">
                  <c:v>1756.5</c:v>
                </c:pt>
                <c:pt idx="28">
                  <c:v>1754.4</c:v>
                </c:pt>
                <c:pt idx="29">
                  <c:v>1753.1</c:v>
                </c:pt>
                <c:pt idx="30">
                  <c:v>1750.7</c:v>
                </c:pt>
                <c:pt idx="31">
                  <c:v>1748.6</c:v>
                </c:pt>
                <c:pt idx="32">
                  <c:v>1749.2</c:v>
                </c:pt>
                <c:pt idx="33">
                  <c:v>1750.6</c:v>
                </c:pt>
                <c:pt idx="34">
                  <c:v>1749.9</c:v>
                </c:pt>
                <c:pt idx="35">
                  <c:v>1747.7</c:v>
                </c:pt>
              </c:numCache>
            </c:numRef>
          </c:val>
          <c:smooth val="0"/>
        </c:ser>
        <c:ser>
          <c:idx val="1"/>
          <c:order val="1"/>
          <c:tx>
            <c:strRef>
              <c:f>'CO2'!$M$6</c:f>
              <c:strCache>
                <c:ptCount val="1"/>
                <c:pt idx="0">
                  <c:v>Integrated High Efficiency</c:v>
                </c:pt>
              </c:strCache>
            </c:strRef>
          </c:tx>
          <c:spPr>
            <a:ln>
              <a:solidFill>
                <a:schemeClr val="accent1"/>
              </a:solidFill>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'CO2'!$M$7:$M$42</c:f>
              <c:numCache>
                <c:formatCode>General</c:formatCode>
                <c:ptCount val="36"/>
                <c:pt idx="0">
                  <c:v>1678.2</c:v>
                </c:pt>
                <c:pt idx="1">
                  <c:v>1662.7</c:v>
                </c:pt>
                <c:pt idx="2">
                  <c:v>1664.9</c:v>
                </c:pt>
                <c:pt idx="3">
                  <c:v>1607.5</c:v>
                </c:pt>
                <c:pt idx="4">
                  <c:v>1396.7</c:v>
                </c:pt>
                <c:pt idx="5">
                  <c:v>1501.8</c:v>
                </c:pt>
                <c:pt idx="6">
                  <c:v>1501.2</c:v>
                </c:pt>
                <c:pt idx="7">
                  <c:v>1479.9</c:v>
                </c:pt>
                <c:pt idx="8">
                  <c:v>1522.4</c:v>
                </c:pt>
                <c:pt idx="9">
                  <c:v>1531.8</c:v>
                </c:pt>
                <c:pt idx="10">
                  <c:v>1548.6</c:v>
                </c:pt>
                <c:pt idx="11">
                  <c:v>1540</c:v>
                </c:pt>
                <c:pt idx="12">
                  <c:v>1557.5</c:v>
                </c:pt>
                <c:pt idx="13">
                  <c:v>1570.2</c:v>
                </c:pt>
                <c:pt idx="14">
                  <c:v>1575</c:v>
                </c:pt>
                <c:pt idx="15">
                  <c:v>1584.5</c:v>
                </c:pt>
                <c:pt idx="16">
                  <c:v>1591.7</c:v>
                </c:pt>
                <c:pt idx="17">
                  <c:v>1596.5</c:v>
                </c:pt>
                <c:pt idx="18">
                  <c:v>1602</c:v>
                </c:pt>
                <c:pt idx="19">
                  <c:v>1606.8</c:v>
                </c:pt>
                <c:pt idx="20">
                  <c:v>1611.2</c:v>
                </c:pt>
                <c:pt idx="21">
                  <c:v>1612.4</c:v>
                </c:pt>
                <c:pt idx="22">
                  <c:v>1611.6</c:v>
                </c:pt>
                <c:pt idx="23">
                  <c:v>1609.4</c:v>
                </c:pt>
                <c:pt idx="24">
                  <c:v>1604.2</c:v>
                </c:pt>
                <c:pt idx="25">
                  <c:v>1601.9</c:v>
                </c:pt>
                <c:pt idx="26">
                  <c:v>1599.7</c:v>
                </c:pt>
                <c:pt idx="27">
                  <c:v>1594.8</c:v>
                </c:pt>
                <c:pt idx="28">
                  <c:v>1591.9</c:v>
                </c:pt>
                <c:pt idx="29">
                  <c:v>1590.1</c:v>
                </c:pt>
                <c:pt idx="30">
                  <c:v>1588.9</c:v>
                </c:pt>
                <c:pt idx="31">
                  <c:v>1587.7</c:v>
                </c:pt>
                <c:pt idx="32">
                  <c:v>1586.8</c:v>
                </c:pt>
                <c:pt idx="33">
                  <c:v>1586.3</c:v>
                </c:pt>
                <c:pt idx="34">
                  <c:v>1583.5</c:v>
                </c:pt>
                <c:pt idx="35">
                  <c:v>1583.7</c:v>
                </c:pt>
              </c:numCache>
            </c:numRef>
          </c:val>
          <c:smooth val="0"/>
        </c:ser>
        <c:ser>
          <c:idx val="2"/>
          <c:order val="2"/>
          <c:tx>
            <c:strRef>
              <c:f>'CO2'!$N$6</c:f>
              <c:strCache>
                <c:ptCount val="1"/>
                <c:pt idx="0">
                  <c:v>High Tech</c:v>
                </c:pt>
              </c:strCache>
            </c:strRef>
          </c:tx>
          <c:spPr>
            <a:ln>
              <a:solidFill>
                <a:schemeClr val="accent1"/>
              </a:solidFill>
              <a:prstDash val="dot"/>
            </a:ln>
          </c:spPr>
          <c:marker>
            <c:symbol val="none"/>
          </c:marker>
          <c:cat>
            <c:numRef>
              <c:f>'CO2'!$A$7:$A$42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'CO2'!$N$7:$N$42</c:f>
              <c:numCache>
                <c:formatCode>General</c:formatCode>
                <c:ptCount val="36"/>
                <c:pt idx="0">
                  <c:v>1678.2</c:v>
                </c:pt>
                <c:pt idx="1">
                  <c:v>1662.7</c:v>
                </c:pt>
                <c:pt idx="2">
                  <c:v>1664.9</c:v>
                </c:pt>
                <c:pt idx="3">
                  <c:v>1607.5</c:v>
                </c:pt>
                <c:pt idx="4">
                  <c:v>1396.7</c:v>
                </c:pt>
                <c:pt idx="5">
                  <c:v>1501.8</c:v>
                </c:pt>
                <c:pt idx="6">
                  <c:v>1501.2</c:v>
                </c:pt>
                <c:pt idx="7">
                  <c:v>1479.9</c:v>
                </c:pt>
                <c:pt idx="8">
                  <c:v>1523</c:v>
                </c:pt>
                <c:pt idx="9">
                  <c:v>1546.5</c:v>
                </c:pt>
                <c:pt idx="10">
                  <c:v>1574.5</c:v>
                </c:pt>
                <c:pt idx="11">
                  <c:v>1586.2</c:v>
                </c:pt>
                <c:pt idx="12">
                  <c:v>1614.7</c:v>
                </c:pt>
                <c:pt idx="13">
                  <c:v>1638.1</c:v>
                </c:pt>
                <c:pt idx="14">
                  <c:v>1653.8</c:v>
                </c:pt>
                <c:pt idx="15">
                  <c:v>1670.8</c:v>
                </c:pt>
                <c:pt idx="16">
                  <c:v>1687.6</c:v>
                </c:pt>
                <c:pt idx="17">
                  <c:v>1699.6</c:v>
                </c:pt>
                <c:pt idx="18">
                  <c:v>1712.3</c:v>
                </c:pt>
                <c:pt idx="19">
                  <c:v>1723.8</c:v>
                </c:pt>
                <c:pt idx="20">
                  <c:v>1735.7</c:v>
                </c:pt>
                <c:pt idx="21">
                  <c:v>1741.2</c:v>
                </c:pt>
                <c:pt idx="22">
                  <c:v>1747.4</c:v>
                </c:pt>
                <c:pt idx="23">
                  <c:v>1749.6</c:v>
                </c:pt>
                <c:pt idx="24">
                  <c:v>1748.4</c:v>
                </c:pt>
                <c:pt idx="25">
                  <c:v>1747.7</c:v>
                </c:pt>
                <c:pt idx="26">
                  <c:v>1747.4</c:v>
                </c:pt>
                <c:pt idx="27">
                  <c:v>1744.1</c:v>
                </c:pt>
                <c:pt idx="28">
                  <c:v>1740.1</c:v>
                </c:pt>
                <c:pt idx="29">
                  <c:v>1740.6</c:v>
                </c:pt>
                <c:pt idx="30">
                  <c:v>1738.9</c:v>
                </c:pt>
                <c:pt idx="31">
                  <c:v>1738.3</c:v>
                </c:pt>
                <c:pt idx="32">
                  <c:v>1740.7</c:v>
                </c:pt>
                <c:pt idx="33">
                  <c:v>1740</c:v>
                </c:pt>
                <c:pt idx="34">
                  <c:v>1738.7</c:v>
                </c:pt>
                <c:pt idx="35">
                  <c:v>1738.4</c:v>
                </c:pt>
              </c:numCache>
            </c:numRef>
          </c:val>
          <c:smooth val="0"/>
        </c:ser>
        <c:dLbls>
          <c:showLegendKey val="0"/>
          <c:showVal val="0"/>
          <c:showCatName val="0"/>
          <c:showSerName val="0"/>
          <c:showPercent val="0"/>
          <c:showBubbleSize val="0"/>
        </c:dLbls>
        <c:smooth val="0"/>
        <c:axId val="270770560"/>
        <c:axId val="270771120"/>
      </c:lineChart>
      <c:catAx>
        <c:axId val="270770560"/>
        <c:scaling>
          <c:orientation val="minMax"/>
        </c:scaling>
        <c:delete val="0"/>
        <c:axPos val="b"/>
        <c:numFmt formatCode="General" sourceLinked="1"/>
        <c:majorTickMark val="out"/>
        <c:minorTickMark val="none"/>
        <c:tickLblPos val="nextTo"/>
        <c:crossAx val="270771120"/>
        <c:crosses val="autoZero"/>
        <c:auto val="1"/>
        <c:lblAlgn val="ctr"/>
        <c:lblOffset val="100"/>
        <c:noMultiLvlLbl val="0"/>
      </c:catAx>
      <c:valAx>
        <c:axId val="270771120"/>
        <c:scaling>
          <c:orientation val="minMax"/>
        </c:scaling>
        <c:delete val="0"/>
        <c:axPos val="l"/>
        <c:majorGridlines/>
        <c:title>
          <c:tx>
            <c:rich>
              <a:bodyPr rot="-5400000" vert="horz"/>
              <a:lstStyle/>
              <a:p>
                <a:pPr>
                  <a:defRPr/>
                </a:pPr>
                <a:r>
                  <a:rPr lang="en-US"/>
                  <a:t>Million Metric Tons of CO2</a:t>
                </a:r>
              </a:p>
            </c:rich>
          </c:tx>
          <c:layout/>
          <c:overlay val="0"/>
        </c:title>
        <c:numFmt formatCode="General" sourceLinked="1"/>
        <c:majorTickMark val="out"/>
        <c:minorTickMark val="none"/>
        <c:tickLblPos val="nextTo"/>
        <c:crossAx val="270770560"/>
        <c:crosses val="autoZero"/>
        <c:crossBetween val="between"/>
      </c:valAx>
    </c:plotArea>
    <c:legend>
      <c:legendPos val="l"/>
      <c:layout>
        <c:manualLayout>
          <c:xMode val="edge"/>
          <c:yMode val="edge"/>
          <c:x val="0.155555555555556"/>
          <c:y val="0.61387758821813898"/>
          <c:w val="0.343055555555556"/>
          <c:h val="0.24531058617672799"/>
        </c:manualLayout>
      </c:layout>
      <c:overlay val="1"/>
    </c:legend>
    <c:plotVisOnly val="1"/>
    <c:dispBlanksAs val="gap"/>
    <c:showDLblsOverMax val="0"/>
  </c:chart>
  <c:txPr>
    <a:bodyPr/>
    <a:lstStyle/>
    <a:p>
      <a:pPr>
        <a:defRPr sz="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Total Electricity Generated</a:t>
            </a:r>
          </a:p>
        </c:rich>
      </c:tx>
      <c:layout/>
      <c:overlay val="0"/>
      <c:spPr>
        <a:noFill/>
        <a:ln>
          <a:noFill/>
        </a:ln>
        <a:effectLst/>
      </c:spPr>
    </c:title>
    <c:autoTitleDeleted val="0"/>
    <c:plotArea>
      <c:layout>
        <c:manualLayout>
          <c:layoutTarget val="inner"/>
          <c:xMode val="edge"/>
          <c:yMode val="edge"/>
          <c:x val="0.245580532717322"/>
          <c:y val="0.22374832178235801"/>
          <c:w val="0.68979193058280996"/>
          <c:h val="0.56136144272288602"/>
        </c:manualLayout>
      </c:layout>
      <c:lineChart>
        <c:grouping val="standard"/>
        <c:varyColors val="0"/>
        <c:ser>
          <c:idx val="0"/>
          <c:order val="0"/>
          <c:tx>
            <c:strRef>
              <c:f>EnergyPowerTotal!$B$6</c:f>
              <c:strCache>
                <c:ptCount val="1"/>
                <c:pt idx="0">
                  <c:v>Reference</c:v>
                </c:pt>
              </c:strCache>
            </c:strRef>
          </c:tx>
          <c:spPr>
            <a:ln w="28575" cap="rnd">
              <a:solidFill>
                <a:schemeClr val="accent1"/>
              </a:solidFill>
              <a:round/>
            </a:ln>
            <a:effectLst/>
          </c:spPr>
          <c:marker>
            <c:symbol val="none"/>
          </c:marker>
          <c:cat>
            <c:numRef>
              <c:f>EnergyPowerTotal!$A$7:$A$42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EnergyPowerTotal!$B$7:$B$42</c:f>
              <c:numCache>
                <c:formatCode>General</c:formatCode>
                <c:ptCount val="36"/>
                <c:pt idx="0">
                  <c:v>3899.6</c:v>
                </c:pt>
                <c:pt idx="1">
                  <c:v>3908.8</c:v>
                </c:pt>
                <c:pt idx="2">
                  <c:v>4005</c:v>
                </c:pt>
                <c:pt idx="3">
                  <c:v>3974</c:v>
                </c:pt>
                <c:pt idx="4">
                  <c:v>3804.8</c:v>
                </c:pt>
                <c:pt idx="5">
                  <c:v>3971.6</c:v>
                </c:pt>
                <c:pt idx="6">
                  <c:v>3946.4</c:v>
                </c:pt>
                <c:pt idx="7">
                  <c:v>3889.6</c:v>
                </c:pt>
                <c:pt idx="8">
                  <c:v>3896.2</c:v>
                </c:pt>
                <c:pt idx="9">
                  <c:v>3905.5</c:v>
                </c:pt>
                <c:pt idx="10">
                  <c:v>3980.1</c:v>
                </c:pt>
                <c:pt idx="11">
                  <c:v>4033.1</c:v>
                </c:pt>
                <c:pt idx="12">
                  <c:v>4089.8</c:v>
                </c:pt>
                <c:pt idx="13">
                  <c:v>4136.6000000000004</c:v>
                </c:pt>
                <c:pt idx="14">
                  <c:v>4168.1000000000004</c:v>
                </c:pt>
                <c:pt idx="15">
                  <c:v>4188.3</c:v>
                </c:pt>
                <c:pt idx="16">
                  <c:v>4223.4000000000005</c:v>
                </c:pt>
                <c:pt idx="17">
                  <c:v>4262.7</c:v>
                </c:pt>
                <c:pt idx="18">
                  <c:v>4307.8</c:v>
                </c:pt>
                <c:pt idx="19">
                  <c:v>4346.9000000000005</c:v>
                </c:pt>
                <c:pt idx="20">
                  <c:v>4382.6000000000004</c:v>
                </c:pt>
                <c:pt idx="21">
                  <c:v>4418.3</c:v>
                </c:pt>
                <c:pt idx="22">
                  <c:v>4454.5</c:v>
                </c:pt>
                <c:pt idx="23">
                  <c:v>4487.6000000000004</c:v>
                </c:pt>
                <c:pt idx="24">
                  <c:v>4513</c:v>
                </c:pt>
                <c:pt idx="25">
                  <c:v>4537.8</c:v>
                </c:pt>
                <c:pt idx="26">
                  <c:v>4557.2</c:v>
                </c:pt>
                <c:pt idx="27">
                  <c:v>4580.7</c:v>
                </c:pt>
                <c:pt idx="28">
                  <c:v>4610.1000000000004</c:v>
                </c:pt>
                <c:pt idx="29">
                  <c:v>4640.8</c:v>
                </c:pt>
                <c:pt idx="30">
                  <c:v>4672</c:v>
                </c:pt>
                <c:pt idx="31">
                  <c:v>4700.7</c:v>
                </c:pt>
                <c:pt idx="32">
                  <c:v>4735.5</c:v>
                </c:pt>
                <c:pt idx="33">
                  <c:v>4774.5</c:v>
                </c:pt>
                <c:pt idx="34">
                  <c:v>4810.9000000000005</c:v>
                </c:pt>
                <c:pt idx="35">
                  <c:v>4843.6000000000004</c:v>
                </c:pt>
              </c:numCache>
            </c:numRef>
          </c:val>
          <c:smooth val="0"/>
        </c:ser>
        <c:ser>
          <c:idx val="1"/>
          <c:order val="1"/>
          <c:tx>
            <c:strRef>
              <c:f>EnergyPowerTotal!$C$6</c:f>
              <c:strCache>
                <c:ptCount val="1"/>
                <c:pt idx="0">
                  <c:v>Integrated High Efficiency</c:v>
                </c:pt>
              </c:strCache>
            </c:strRef>
          </c:tx>
          <c:spPr>
            <a:ln w="28575" cap="rnd">
              <a:solidFill>
                <a:schemeClr val="accent2"/>
              </a:solidFill>
              <a:round/>
            </a:ln>
            <a:effectLst/>
          </c:spPr>
          <c:marker>
            <c:symbol val="none"/>
          </c:marker>
          <c:cat>
            <c:numRef>
              <c:f>EnergyPowerTotal!$A$7:$A$42</c:f>
              <c:numCache>
                <c:formatCode>General</c:formatCode>
                <c:ptCount val="3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numCache>
            </c:numRef>
          </c:cat>
          <c:val>
            <c:numRef>
              <c:f>EnergyPowerTotal!$C$7:$C$42</c:f>
              <c:numCache>
                <c:formatCode>General</c:formatCode>
                <c:ptCount val="36"/>
                <c:pt idx="0">
                  <c:v>3899.6</c:v>
                </c:pt>
                <c:pt idx="1">
                  <c:v>3908.8</c:v>
                </c:pt>
                <c:pt idx="2">
                  <c:v>4005</c:v>
                </c:pt>
                <c:pt idx="3">
                  <c:v>3974</c:v>
                </c:pt>
                <c:pt idx="4">
                  <c:v>3804.8</c:v>
                </c:pt>
                <c:pt idx="5">
                  <c:v>3971.6</c:v>
                </c:pt>
                <c:pt idx="6">
                  <c:v>3946.4</c:v>
                </c:pt>
                <c:pt idx="7">
                  <c:v>3889.6</c:v>
                </c:pt>
                <c:pt idx="8">
                  <c:v>3896</c:v>
                </c:pt>
                <c:pt idx="9">
                  <c:v>3824.9</c:v>
                </c:pt>
                <c:pt idx="10">
                  <c:v>3840.7</c:v>
                </c:pt>
                <c:pt idx="11">
                  <c:v>3801.9</c:v>
                </c:pt>
                <c:pt idx="12">
                  <c:v>3806.5</c:v>
                </c:pt>
                <c:pt idx="13">
                  <c:v>3816</c:v>
                </c:pt>
                <c:pt idx="14">
                  <c:v>3816</c:v>
                </c:pt>
                <c:pt idx="15">
                  <c:v>3812.1</c:v>
                </c:pt>
                <c:pt idx="16">
                  <c:v>3814.2</c:v>
                </c:pt>
                <c:pt idx="17">
                  <c:v>3820.9</c:v>
                </c:pt>
                <c:pt idx="18">
                  <c:v>3830.4</c:v>
                </c:pt>
                <c:pt idx="19">
                  <c:v>3840.5</c:v>
                </c:pt>
                <c:pt idx="20">
                  <c:v>3851.1</c:v>
                </c:pt>
                <c:pt idx="21">
                  <c:v>3860.4</c:v>
                </c:pt>
                <c:pt idx="22">
                  <c:v>3869.7</c:v>
                </c:pt>
                <c:pt idx="23">
                  <c:v>3877.3</c:v>
                </c:pt>
                <c:pt idx="24">
                  <c:v>3878.7</c:v>
                </c:pt>
                <c:pt idx="25">
                  <c:v>3890</c:v>
                </c:pt>
                <c:pt idx="26">
                  <c:v>3900.4</c:v>
                </c:pt>
                <c:pt idx="27">
                  <c:v>3908.6</c:v>
                </c:pt>
                <c:pt idx="28">
                  <c:v>3913.9</c:v>
                </c:pt>
                <c:pt idx="29">
                  <c:v>3930.7</c:v>
                </c:pt>
                <c:pt idx="30">
                  <c:v>3949.6</c:v>
                </c:pt>
                <c:pt idx="31">
                  <c:v>3969.4</c:v>
                </c:pt>
                <c:pt idx="32">
                  <c:v>3991.1</c:v>
                </c:pt>
                <c:pt idx="33">
                  <c:v>4011.5</c:v>
                </c:pt>
                <c:pt idx="34">
                  <c:v>4028.6</c:v>
                </c:pt>
                <c:pt idx="35">
                  <c:v>4050.9</c:v>
                </c:pt>
              </c:numCache>
            </c:numRef>
          </c:val>
          <c:smooth val="0"/>
        </c:ser>
        <c:dLbls>
          <c:showLegendKey val="0"/>
          <c:showVal val="0"/>
          <c:showCatName val="0"/>
          <c:showSerName val="0"/>
          <c:showPercent val="0"/>
          <c:showBubbleSize val="0"/>
        </c:dLbls>
        <c:smooth val="0"/>
        <c:axId val="270878896"/>
        <c:axId val="270879456"/>
      </c:lineChart>
      <c:catAx>
        <c:axId val="27087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0879456"/>
        <c:crosses val="autoZero"/>
        <c:auto val="1"/>
        <c:lblAlgn val="ctr"/>
        <c:lblOffset val="100"/>
        <c:noMultiLvlLbl val="0"/>
      </c:catAx>
      <c:valAx>
        <c:axId val="270879456"/>
        <c:scaling>
          <c:orientation val="minMax"/>
          <c:max val="4950"/>
          <c:min val="37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Billion Kilowatt Hours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0878896"/>
        <c:crosses val="autoZero"/>
        <c:crossBetween val="between"/>
      </c:valAx>
      <c:spPr>
        <a:noFill/>
        <a:ln>
          <a:noFill/>
        </a:ln>
        <a:effectLst/>
      </c:spPr>
    </c:plotArea>
    <c:legend>
      <c:legendPos val="r"/>
      <c:layout>
        <c:manualLayout>
          <c:xMode val="edge"/>
          <c:yMode val="edge"/>
          <c:x val="0.20771736340528399"/>
          <c:y val="0.201224524353811"/>
          <c:w val="0.51468011293541005"/>
          <c:h val="0.311314634057839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White Paper: Analysis of Modeled Energy-Economic Policy Scenarios</vt:lpstr>
    </vt:vector>
  </TitlesOfParts>
  <Company>Georgia Tech</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Analysis of Modeled Energy-Economic Policy Scenarios</dc:title>
  <dc:subject/>
  <dc:creator>Alex</dc:creator>
  <cp:keywords/>
  <dc:description/>
  <cp:lastModifiedBy>Hyman, Elizabeth Ruth</cp:lastModifiedBy>
  <cp:revision>3</cp:revision>
  <cp:lastPrinted>2014-12-01T21:29:00Z</cp:lastPrinted>
  <dcterms:created xsi:type="dcterms:W3CDTF">2014-12-17T14:07:00Z</dcterms:created>
  <dcterms:modified xsi:type="dcterms:W3CDTF">2014-12-17T15:12:00Z</dcterms:modified>
  <dc:language>en-US</dc:language>
</cp:coreProperties>
</file>